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hint="eastAsia"/>
          <w:b/>
          <w:bCs/>
          <w:sz w:val="48"/>
          <w:szCs w:val="56"/>
          <w:lang w:val="en-US" w:eastAsia="zh-CN"/>
        </w:rPr>
      </w:pPr>
    </w:p>
    <w:p>
      <w:pPr>
        <w:jc w:val="center"/>
        <w:rPr>
          <w:rFonts w:hint="eastAsia"/>
          <w:b/>
          <w:bCs/>
          <w:sz w:val="48"/>
          <w:szCs w:val="56"/>
          <w:lang w:val="en-US" w:eastAsia="zh-CN"/>
        </w:rPr>
      </w:pPr>
    </w:p>
    <w:p>
      <w:pPr>
        <w:jc w:val="center"/>
        <w:rPr>
          <w:rFonts w:hint="eastAsia"/>
          <w:b/>
          <w:bCs/>
          <w:sz w:val="44"/>
          <w:szCs w:val="52"/>
          <w:lang w:val="en-US" w:eastAsia="zh-CN"/>
        </w:rPr>
      </w:pPr>
      <w:r>
        <w:rPr>
          <w:rFonts w:hint="eastAsia"/>
          <w:b/>
          <w:bCs/>
          <w:sz w:val="44"/>
          <w:szCs w:val="52"/>
          <w:lang w:val="en-US" w:eastAsia="zh-CN"/>
        </w:rPr>
        <w:t>江苏标普检测科技有限公司</w:t>
      </w:r>
    </w:p>
    <w:p>
      <w:pPr>
        <w:jc w:val="center"/>
        <w:rPr>
          <w:rFonts w:hint="eastAsia"/>
          <w:b/>
          <w:bCs/>
          <w:sz w:val="44"/>
          <w:szCs w:val="52"/>
          <w:lang w:val="en-US" w:eastAsia="zh-CN"/>
        </w:rPr>
      </w:pPr>
      <w:r>
        <w:rPr>
          <w:rFonts w:hint="eastAsia"/>
          <w:b/>
          <w:bCs/>
          <w:sz w:val="44"/>
          <w:szCs w:val="52"/>
          <w:lang w:val="en-US" w:eastAsia="zh-CN"/>
        </w:rPr>
        <w:t>新建实验室项目</w:t>
      </w:r>
    </w:p>
    <w:p>
      <w:pPr>
        <w:pStyle w:val="2"/>
        <w:jc w:val="center"/>
        <w:rPr>
          <w:rFonts w:hint="default"/>
          <w:b/>
          <w:bCs/>
          <w:sz w:val="44"/>
          <w:szCs w:val="44"/>
          <w:lang w:val="en-US" w:eastAsia="zh-CN"/>
        </w:rPr>
      </w:pPr>
      <w:r>
        <w:rPr>
          <w:rFonts w:hint="eastAsia"/>
          <w:b/>
          <w:bCs/>
          <w:sz w:val="44"/>
          <w:szCs w:val="44"/>
          <w:lang w:val="en-US" w:eastAsia="zh-CN"/>
        </w:rPr>
        <w:t>竣工环境保护验收监测报告</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left"/>
        <w:rPr>
          <w:rFonts w:hint="eastAsia"/>
          <w:b/>
          <w:bCs/>
          <w:sz w:val="30"/>
          <w:szCs w:val="30"/>
          <w:lang w:val="en-US" w:eastAsia="zh-CN"/>
        </w:rPr>
      </w:pPr>
    </w:p>
    <w:p>
      <w:pPr>
        <w:jc w:val="left"/>
        <w:rPr>
          <w:rFonts w:hint="eastAsia"/>
          <w:b/>
          <w:bCs/>
          <w:sz w:val="30"/>
          <w:szCs w:val="30"/>
          <w:lang w:val="en-US" w:eastAsia="zh-CN"/>
        </w:rPr>
      </w:pPr>
    </w:p>
    <w:p>
      <w:pPr>
        <w:jc w:val="left"/>
        <w:rPr>
          <w:rFonts w:hint="eastAsia"/>
          <w:b/>
          <w:bCs/>
          <w:sz w:val="30"/>
          <w:szCs w:val="30"/>
          <w:lang w:val="en-US" w:eastAsia="zh-CN"/>
        </w:rPr>
      </w:pPr>
    </w:p>
    <w:p>
      <w:pPr>
        <w:jc w:val="left"/>
        <w:rPr>
          <w:rFonts w:hint="eastAsia"/>
          <w:b/>
          <w:bCs/>
          <w:sz w:val="30"/>
          <w:szCs w:val="30"/>
          <w:lang w:val="en-US" w:eastAsia="zh-CN"/>
        </w:rPr>
      </w:pPr>
    </w:p>
    <w:p>
      <w:pPr>
        <w:jc w:val="left"/>
        <w:rPr>
          <w:rFonts w:hint="eastAsia"/>
          <w:b/>
          <w:bCs/>
          <w:sz w:val="30"/>
          <w:szCs w:val="30"/>
          <w:lang w:val="en-US" w:eastAsia="zh-CN"/>
        </w:rPr>
      </w:pPr>
    </w:p>
    <w:p>
      <w:pPr>
        <w:jc w:val="left"/>
        <w:rPr>
          <w:rFonts w:hint="eastAsia"/>
          <w:b/>
          <w:bCs/>
          <w:sz w:val="30"/>
          <w:szCs w:val="30"/>
          <w:lang w:val="en-US" w:eastAsia="zh-CN"/>
        </w:rPr>
      </w:pPr>
    </w:p>
    <w:p>
      <w:pPr>
        <w:jc w:val="left"/>
        <w:rPr>
          <w:rFonts w:hint="default"/>
          <w:b/>
          <w:bCs/>
          <w:sz w:val="30"/>
          <w:szCs w:val="30"/>
          <w:lang w:val="en-US" w:eastAsia="zh-CN"/>
        </w:rPr>
      </w:pPr>
    </w:p>
    <w:p>
      <w:pPr>
        <w:jc w:val="center"/>
        <w:rPr>
          <w:rFonts w:hint="eastAsia"/>
          <w:b/>
          <w:bCs/>
          <w:sz w:val="28"/>
          <w:szCs w:val="28"/>
          <w:lang w:val="en-US" w:eastAsia="zh-CN"/>
        </w:rPr>
      </w:pPr>
      <w:r>
        <w:rPr>
          <w:rFonts w:hint="eastAsia"/>
          <w:b/>
          <w:bCs/>
          <w:sz w:val="28"/>
          <w:szCs w:val="28"/>
          <w:lang w:val="en-US" w:eastAsia="zh-CN"/>
        </w:rPr>
        <w:t>建设单位：江苏标普检测科技有限公司</w:t>
      </w:r>
    </w:p>
    <w:p>
      <w:pPr>
        <w:jc w:val="center"/>
        <w:rPr>
          <w:rFonts w:hint="eastAsia"/>
          <w:b/>
          <w:bCs/>
          <w:sz w:val="28"/>
          <w:szCs w:val="28"/>
          <w:lang w:val="en-US" w:eastAsia="zh-CN"/>
        </w:rPr>
      </w:pPr>
      <w:r>
        <w:rPr>
          <w:rFonts w:hint="eastAsia"/>
          <w:b/>
          <w:bCs/>
          <w:sz w:val="28"/>
          <w:szCs w:val="28"/>
          <w:lang w:val="en-US" w:eastAsia="zh-CN"/>
        </w:rPr>
        <w:t>编制单位：江苏标普检测科技有限公司</w:t>
      </w:r>
    </w:p>
    <w:p>
      <w:pPr>
        <w:jc w:val="center"/>
        <w:rPr>
          <w:rFonts w:hint="eastAsia"/>
          <w:b/>
          <w:bCs/>
          <w:sz w:val="28"/>
          <w:szCs w:val="28"/>
          <w:lang w:val="en-US" w:eastAsia="zh-CN"/>
        </w:rPr>
      </w:pPr>
      <w:r>
        <w:rPr>
          <w:rFonts w:hint="eastAsia"/>
          <w:b/>
          <w:bCs/>
          <w:sz w:val="28"/>
          <w:szCs w:val="28"/>
          <w:lang w:val="en-US" w:eastAsia="zh-CN"/>
        </w:rPr>
        <w:t>二〇二四年一月</w:t>
      </w:r>
    </w:p>
    <w:p>
      <w:pPr>
        <w:rPr>
          <w:rFonts w:hint="default"/>
          <w:b/>
          <w:bCs/>
          <w:sz w:val="30"/>
          <w:szCs w:val="30"/>
          <w:lang w:val="en-US" w:eastAsia="zh-CN"/>
        </w:rPr>
      </w:pPr>
      <w:r>
        <w:rPr>
          <w:rFonts w:hint="default"/>
          <w:b/>
          <w:bCs/>
          <w:sz w:val="30"/>
          <w:szCs w:val="30"/>
          <w:lang w:val="en-US" w:eastAsia="zh-CN"/>
        </w:rPr>
        <w:br w:type="page"/>
      </w:r>
    </w:p>
    <w:p>
      <w:pPr>
        <w:pStyle w:val="2"/>
        <w:rPr>
          <w:rFonts w:hint="default"/>
          <w:b/>
          <w:bCs/>
          <w:sz w:val="30"/>
          <w:szCs w:val="30"/>
          <w:lang w:val="en-US" w:eastAsia="zh-CN"/>
        </w:rPr>
      </w:pPr>
    </w:p>
    <w:p>
      <w:pPr>
        <w:pStyle w:val="2"/>
        <w:rPr>
          <w:rFonts w:hint="default"/>
          <w:b/>
          <w:bCs/>
          <w:sz w:val="30"/>
          <w:szCs w:val="30"/>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2"/>
        <w:rPr>
          <w:rFonts w:hint="default"/>
          <w:lang w:val="en-US" w:eastAsia="zh-CN"/>
        </w:rPr>
      </w:pPr>
    </w:p>
    <w:p>
      <w:pPr>
        <w:jc w:val="both"/>
        <w:rPr>
          <w:rFonts w:hint="default" w:eastAsiaTheme="minorEastAsia"/>
          <w:b/>
          <w:bCs/>
          <w:sz w:val="30"/>
          <w:szCs w:val="30"/>
          <w:lang w:val="en-US" w:eastAsia="zh-CN"/>
        </w:rPr>
      </w:pPr>
      <w:r>
        <w:rPr>
          <w:rFonts w:hint="eastAsia"/>
          <w:b/>
          <w:bCs/>
          <w:sz w:val="30"/>
          <w:szCs w:val="30"/>
          <w:lang w:val="en-US" w:eastAsia="zh-CN"/>
        </w:rPr>
        <w:t>建设单位：江苏标普检测科技有限公司</w:t>
      </w:r>
    </w:p>
    <w:p>
      <w:pPr>
        <w:jc w:val="both"/>
        <w:rPr>
          <w:rFonts w:hint="default" w:eastAsiaTheme="minorEastAsia"/>
          <w:b/>
          <w:bCs/>
          <w:sz w:val="30"/>
          <w:szCs w:val="30"/>
          <w:lang w:val="en-US" w:eastAsia="zh-CN"/>
        </w:rPr>
      </w:pPr>
      <w:r>
        <w:rPr>
          <w:rFonts w:hint="eastAsia"/>
          <w:b/>
          <w:bCs/>
          <w:sz w:val="30"/>
          <w:szCs w:val="30"/>
          <w:lang w:val="en-US" w:eastAsia="zh-CN"/>
        </w:rPr>
        <w:t>法人代表：徐俊</w:t>
      </w:r>
    </w:p>
    <w:p>
      <w:pPr>
        <w:jc w:val="both"/>
        <w:rPr>
          <w:rFonts w:hint="eastAsia"/>
          <w:b/>
          <w:bCs/>
          <w:sz w:val="30"/>
          <w:szCs w:val="30"/>
          <w:lang w:val="en-US" w:eastAsia="zh-CN"/>
        </w:rPr>
      </w:pPr>
      <w:r>
        <w:rPr>
          <w:rFonts w:hint="eastAsia"/>
          <w:b/>
          <w:bCs/>
          <w:sz w:val="30"/>
          <w:szCs w:val="30"/>
          <w:lang w:val="en-US" w:eastAsia="zh-CN"/>
        </w:rPr>
        <w:t>编制单位：江苏标普检测科技有限公司</w:t>
      </w:r>
    </w:p>
    <w:p>
      <w:pPr>
        <w:jc w:val="both"/>
        <w:rPr>
          <w:rFonts w:hint="eastAsia"/>
          <w:b/>
          <w:bCs/>
          <w:sz w:val="30"/>
          <w:szCs w:val="30"/>
          <w:lang w:val="en-US" w:eastAsia="zh-CN"/>
        </w:rPr>
      </w:pPr>
    </w:p>
    <w:p>
      <w:pPr>
        <w:jc w:val="left"/>
        <w:rPr>
          <w:rFonts w:hint="eastAsia"/>
          <w:b/>
          <w:bCs/>
          <w:sz w:val="30"/>
          <w:szCs w:val="30"/>
          <w:lang w:val="en-US" w:eastAsia="zh-CN"/>
        </w:rPr>
      </w:pPr>
      <w:r>
        <w:rPr>
          <w:rFonts w:hint="eastAsia"/>
          <w:b/>
          <w:bCs/>
          <w:sz w:val="30"/>
          <w:szCs w:val="30"/>
          <w:lang w:val="en-US" w:eastAsia="zh-CN"/>
        </w:rPr>
        <w:t>项目名称：江苏标普检测科技有限公司新建实验室项目</w:t>
      </w:r>
    </w:p>
    <w:p>
      <w:pPr>
        <w:jc w:val="both"/>
        <w:rPr>
          <w:rFonts w:hint="default"/>
          <w:b/>
          <w:bCs/>
          <w:sz w:val="30"/>
          <w:szCs w:val="30"/>
          <w:lang w:val="en-US" w:eastAsia="zh-CN"/>
        </w:rPr>
      </w:pPr>
      <w:r>
        <w:rPr>
          <w:rFonts w:hint="eastAsia"/>
          <w:b/>
          <w:bCs/>
          <w:sz w:val="30"/>
          <w:szCs w:val="30"/>
          <w:lang w:val="en-US" w:eastAsia="zh-CN"/>
        </w:rPr>
        <w:t>项目负责人：陈晨</w:t>
      </w:r>
    </w:p>
    <w:p>
      <w:pPr>
        <w:jc w:val="both"/>
        <w:rPr>
          <w:rFonts w:hint="default"/>
          <w:b/>
          <w:bCs/>
          <w:sz w:val="30"/>
          <w:szCs w:val="30"/>
          <w:lang w:val="en-US" w:eastAsia="zh-CN"/>
        </w:rPr>
      </w:pPr>
      <w:r>
        <w:rPr>
          <w:rFonts w:hint="eastAsia"/>
          <w:b/>
          <w:bCs/>
          <w:sz w:val="30"/>
          <w:szCs w:val="30"/>
          <w:lang w:val="en-US" w:eastAsia="zh-CN"/>
        </w:rPr>
        <w:t>报告编写人：刘伟童</w:t>
      </w:r>
    </w:p>
    <w:p>
      <w:pPr>
        <w:jc w:val="both"/>
        <w:rPr>
          <w:rFonts w:hint="default"/>
          <w:b/>
          <w:bCs/>
          <w:sz w:val="30"/>
          <w:szCs w:val="30"/>
          <w:lang w:val="en-US" w:eastAsia="zh-CN"/>
        </w:rPr>
      </w:pPr>
      <w:r>
        <w:rPr>
          <w:rFonts w:hint="eastAsia"/>
          <w:b/>
          <w:bCs/>
          <w:sz w:val="30"/>
          <w:szCs w:val="30"/>
          <w:lang w:val="en-US" w:eastAsia="zh-CN"/>
        </w:rPr>
        <w:t>项目审核人：沈琪</w:t>
      </w:r>
    </w:p>
    <w:p>
      <w:pPr>
        <w:jc w:val="both"/>
        <w:rPr>
          <w:rFonts w:hint="default" w:eastAsiaTheme="minorEastAsia"/>
          <w:b/>
          <w:bCs/>
          <w:sz w:val="30"/>
          <w:szCs w:val="30"/>
          <w:lang w:val="en-US" w:eastAsia="zh-CN"/>
        </w:rPr>
      </w:pPr>
      <w:r>
        <w:rPr>
          <w:rFonts w:hint="eastAsia"/>
          <w:b/>
          <w:bCs/>
          <w:sz w:val="30"/>
          <w:szCs w:val="30"/>
          <w:lang w:val="en-US" w:eastAsia="zh-CN"/>
        </w:rPr>
        <w:t>项目审定人：徐俊</w:t>
      </w:r>
    </w:p>
    <w:p>
      <w:pPr>
        <w:jc w:val="both"/>
        <w:rPr>
          <w:rFonts w:hint="eastAsia"/>
          <w:b/>
          <w:bCs/>
          <w:sz w:val="30"/>
          <w:szCs w:val="30"/>
          <w:lang w:val="en-US" w:eastAsia="zh-CN"/>
        </w:rPr>
      </w:pPr>
    </w:p>
    <w:p>
      <w:pPr>
        <w:jc w:val="both"/>
        <w:rPr>
          <w:rFonts w:hint="eastAsia"/>
          <w:b/>
          <w:bCs/>
          <w:sz w:val="28"/>
          <w:szCs w:val="28"/>
          <w:lang w:val="en-US" w:eastAsia="zh-CN"/>
        </w:rPr>
      </w:pPr>
      <w:r>
        <w:rPr>
          <w:rFonts w:hint="eastAsia"/>
          <w:b/>
          <w:bCs/>
          <w:sz w:val="30"/>
          <w:szCs w:val="30"/>
          <w:lang w:val="en-US" w:eastAsia="zh-CN"/>
        </w:rPr>
        <w:t>现场监测人员：郁灯壮，张海如</w:t>
      </w:r>
    </w:p>
    <w:p>
      <w:pPr>
        <w:jc w:val="both"/>
        <w:rPr>
          <w:rFonts w:hint="eastAsia"/>
          <w:b/>
          <w:bCs/>
          <w:sz w:val="28"/>
          <w:szCs w:val="28"/>
          <w:lang w:val="en-US" w:eastAsia="zh-CN"/>
        </w:rPr>
      </w:pPr>
    </w:p>
    <w:p>
      <w:pPr>
        <w:pStyle w:val="2"/>
        <w:rPr>
          <w:rFonts w:hint="eastAsia"/>
          <w:lang w:val="en-US" w:eastAsia="zh-CN"/>
        </w:rPr>
      </w:pPr>
    </w:p>
    <w:tbl>
      <w:tblPr>
        <w:tblStyle w:val="21"/>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Borders>
              <w:tl2br w:val="nil"/>
              <w:tr2bl w:val="nil"/>
            </w:tcBorders>
          </w:tcPr>
          <w:p>
            <w:pPr>
              <w:jc w:val="both"/>
              <w:rPr>
                <w:rFonts w:hint="default"/>
                <w:b w:val="0"/>
                <w:bCs w:val="0"/>
                <w:sz w:val="28"/>
                <w:szCs w:val="28"/>
                <w:vertAlign w:val="baseline"/>
                <w:lang w:val="en-US" w:eastAsia="zh-CN"/>
              </w:rPr>
            </w:pPr>
            <w:r>
              <w:rPr>
                <w:rFonts w:hint="eastAsia"/>
                <w:b w:val="0"/>
                <w:bCs w:val="0"/>
                <w:sz w:val="28"/>
                <w:szCs w:val="28"/>
                <w:vertAlign w:val="baseline"/>
                <w:lang w:val="en-US" w:eastAsia="zh-CN"/>
              </w:rPr>
              <w:t>建设单位：江苏标普检测科技有限公司</w:t>
            </w:r>
          </w:p>
        </w:tc>
        <w:tc>
          <w:tcPr>
            <w:tcW w:w="4261" w:type="dxa"/>
            <w:tcBorders>
              <w:tl2br w:val="nil"/>
              <w:tr2bl w:val="nil"/>
            </w:tcBorders>
            <w:vAlign w:val="top"/>
          </w:tcPr>
          <w:p>
            <w:pPr>
              <w:jc w:val="both"/>
              <w:rPr>
                <w:rFonts w:hint="default" w:asciiTheme="minorHAnsi" w:hAnsiTheme="minorHAnsi" w:eastAsiaTheme="minorEastAsia" w:cstheme="minorBidi"/>
                <w:b w:val="0"/>
                <w:bCs w:val="0"/>
                <w:kern w:val="2"/>
                <w:sz w:val="28"/>
                <w:szCs w:val="28"/>
                <w:vertAlign w:val="baseline"/>
                <w:lang w:val="en-US" w:eastAsia="zh-CN" w:bidi="ar-SA"/>
              </w:rPr>
            </w:pPr>
            <w:r>
              <w:rPr>
                <w:rFonts w:hint="eastAsia"/>
                <w:b w:val="0"/>
                <w:bCs w:val="0"/>
                <w:sz w:val="28"/>
                <w:szCs w:val="28"/>
                <w:vertAlign w:val="baseline"/>
                <w:lang w:val="en-US" w:eastAsia="zh-CN"/>
              </w:rPr>
              <w:t>编制单位：江苏标普检测科技有限公司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Borders>
              <w:tl2br w:val="nil"/>
              <w:tr2bl w:val="nil"/>
            </w:tcBorders>
          </w:tcPr>
          <w:p>
            <w:pPr>
              <w:jc w:val="both"/>
              <w:rPr>
                <w:rFonts w:hint="default"/>
                <w:b w:val="0"/>
                <w:bCs w:val="0"/>
                <w:sz w:val="28"/>
                <w:szCs w:val="28"/>
                <w:vertAlign w:val="baseline"/>
                <w:lang w:val="en-US" w:eastAsia="zh-CN"/>
              </w:rPr>
            </w:pPr>
            <w:r>
              <w:rPr>
                <w:rFonts w:hint="eastAsia"/>
                <w:b w:val="0"/>
                <w:bCs w:val="0"/>
                <w:sz w:val="28"/>
                <w:szCs w:val="28"/>
                <w:vertAlign w:val="baseline"/>
                <w:lang w:val="en-US" w:eastAsia="zh-CN"/>
              </w:rPr>
              <w:t>电话：</w:t>
            </w:r>
            <w:r>
              <w:rPr>
                <w:rFonts w:hint="default" w:ascii="Times New Roman" w:hAnsi="Times New Roman" w:cs="Times New Roman"/>
                <w:b w:val="0"/>
                <w:bCs w:val="0"/>
                <w:sz w:val="28"/>
                <w:szCs w:val="28"/>
                <w:vertAlign w:val="baseline"/>
                <w:lang w:val="en-US" w:eastAsia="zh-CN"/>
              </w:rPr>
              <w:t>0513-85595588</w:t>
            </w:r>
          </w:p>
        </w:tc>
        <w:tc>
          <w:tcPr>
            <w:tcW w:w="4261" w:type="dxa"/>
            <w:tcBorders>
              <w:tl2br w:val="nil"/>
              <w:tr2bl w:val="nil"/>
            </w:tcBorders>
            <w:vAlign w:val="top"/>
          </w:tcPr>
          <w:p>
            <w:pPr>
              <w:jc w:val="both"/>
              <w:rPr>
                <w:rFonts w:hint="default" w:asciiTheme="minorHAnsi" w:hAnsiTheme="minorHAnsi" w:eastAsiaTheme="minorEastAsia" w:cstheme="minorBidi"/>
                <w:b w:val="0"/>
                <w:bCs w:val="0"/>
                <w:kern w:val="2"/>
                <w:sz w:val="28"/>
                <w:szCs w:val="28"/>
                <w:vertAlign w:val="baseline"/>
                <w:lang w:val="en-US" w:eastAsia="zh-CN" w:bidi="ar-SA"/>
              </w:rPr>
            </w:pPr>
            <w:r>
              <w:rPr>
                <w:rFonts w:hint="eastAsia"/>
                <w:b w:val="0"/>
                <w:bCs w:val="0"/>
                <w:sz w:val="28"/>
                <w:szCs w:val="28"/>
                <w:vertAlign w:val="baseline"/>
                <w:lang w:val="en-US" w:eastAsia="zh-CN"/>
              </w:rPr>
              <w:t>电话：</w:t>
            </w:r>
            <w:r>
              <w:rPr>
                <w:rFonts w:hint="default" w:ascii="Times New Roman" w:hAnsi="Times New Roman" w:cs="Times New Roman"/>
                <w:b w:val="0"/>
                <w:bCs w:val="0"/>
                <w:sz w:val="28"/>
                <w:szCs w:val="28"/>
                <w:vertAlign w:val="baseline"/>
                <w:lang w:val="en-US" w:eastAsia="zh-CN"/>
              </w:rPr>
              <w:t>0513-85595588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Borders>
              <w:tl2br w:val="nil"/>
              <w:tr2bl w:val="nil"/>
            </w:tcBorders>
          </w:tcPr>
          <w:p>
            <w:pPr>
              <w:jc w:val="both"/>
              <w:rPr>
                <w:rFonts w:hint="default"/>
                <w:b w:val="0"/>
                <w:bCs w:val="0"/>
                <w:sz w:val="28"/>
                <w:szCs w:val="28"/>
                <w:vertAlign w:val="baseline"/>
                <w:lang w:val="en-US" w:eastAsia="zh-CN"/>
              </w:rPr>
            </w:pPr>
            <w:r>
              <w:rPr>
                <w:rFonts w:hint="eastAsia"/>
                <w:b w:val="0"/>
                <w:bCs w:val="0"/>
                <w:sz w:val="28"/>
                <w:szCs w:val="28"/>
                <w:vertAlign w:val="baseline"/>
                <w:lang w:val="en-US" w:eastAsia="zh-CN"/>
              </w:rPr>
              <w:t>邮编：</w:t>
            </w:r>
            <w:r>
              <w:rPr>
                <w:rFonts w:hint="eastAsia" w:ascii="Times New Roman" w:hAnsi="Times New Roman" w:cs="Times New Roman"/>
                <w:b w:val="0"/>
                <w:bCs w:val="0"/>
                <w:sz w:val="28"/>
                <w:szCs w:val="28"/>
                <w:vertAlign w:val="baseline"/>
                <w:lang w:val="en-US" w:eastAsia="zh-CN"/>
              </w:rPr>
              <w:t>226000</w:t>
            </w:r>
          </w:p>
        </w:tc>
        <w:tc>
          <w:tcPr>
            <w:tcW w:w="4261" w:type="dxa"/>
            <w:tcBorders>
              <w:tl2br w:val="nil"/>
              <w:tr2bl w:val="nil"/>
            </w:tcBorders>
            <w:vAlign w:val="top"/>
          </w:tcPr>
          <w:p>
            <w:pPr>
              <w:jc w:val="both"/>
              <w:rPr>
                <w:rFonts w:hint="default" w:asciiTheme="minorHAnsi" w:hAnsiTheme="minorHAnsi" w:eastAsiaTheme="minorEastAsia" w:cstheme="minorBidi"/>
                <w:b w:val="0"/>
                <w:bCs w:val="0"/>
                <w:kern w:val="2"/>
                <w:sz w:val="28"/>
                <w:szCs w:val="28"/>
                <w:vertAlign w:val="baseline"/>
                <w:lang w:val="en-US" w:eastAsia="zh-CN" w:bidi="ar-SA"/>
              </w:rPr>
            </w:pPr>
            <w:r>
              <w:rPr>
                <w:rFonts w:hint="eastAsia"/>
                <w:b w:val="0"/>
                <w:bCs w:val="0"/>
                <w:sz w:val="28"/>
                <w:szCs w:val="28"/>
                <w:vertAlign w:val="baseline"/>
                <w:lang w:val="en-US" w:eastAsia="zh-CN"/>
              </w:rPr>
              <w:t>邮编：</w:t>
            </w:r>
            <w:r>
              <w:rPr>
                <w:rFonts w:hint="eastAsia" w:ascii="Times New Roman" w:hAnsi="Times New Roman" w:cs="Times New Roman"/>
                <w:b w:val="0"/>
                <w:bCs w:val="0"/>
                <w:sz w:val="28"/>
                <w:szCs w:val="28"/>
                <w:vertAlign w:val="baseline"/>
                <w:lang w:val="en-US" w:eastAsia="zh-CN"/>
              </w:rPr>
              <w:t>226000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Borders>
              <w:tl2br w:val="nil"/>
              <w:tr2bl w:val="nil"/>
            </w:tcBorders>
          </w:tcPr>
          <w:p>
            <w:pPr>
              <w:jc w:val="both"/>
              <w:rPr>
                <w:rFonts w:hint="default"/>
                <w:b w:val="0"/>
                <w:bCs w:val="0"/>
                <w:sz w:val="28"/>
                <w:szCs w:val="28"/>
                <w:vertAlign w:val="baseline"/>
                <w:lang w:val="en-US" w:eastAsia="zh-CN"/>
              </w:rPr>
            </w:pPr>
            <w:r>
              <w:rPr>
                <w:rFonts w:hint="eastAsia"/>
                <w:b w:val="0"/>
                <w:bCs w:val="0"/>
                <w:sz w:val="28"/>
                <w:szCs w:val="28"/>
                <w:vertAlign w:val="baseline"/>
                <w:lang w:val="en-US" w:eastAsia="zh-CN"/>
              </w:rPr>
              <w:t>地址：</w:t>
            </w:r>
            <w:r>
              <w:rPr>
                <w:rFonts w:hint="default" w:ascii="Times New Roman" w:hAnsi="Times New Roman" w:cs="Times New Roman"/>
                <w:b w:val="0"/>
                <w:bCs w:val="0"/>
                <w:sz w:val="28"/>
                <w:szCs w:val="28"/>
                <w:vertAlign w:val="baseline"/>
                <w:lang w:val="en-US" w:eastAsia="zh-CN"/>
              </w:rPr>
              <w:t>南通市崇川区永兴街道永兴路218号20幢</w:t>
            </w:r>
          </w:p>
        </w:tc>
        <w:tc>
          <w:tcPr>
            <w:tcW w:w="4261" w:type="dxa"/>
            <w:tcBorders>
              <w:tl2br w:val="nil"/>
              <w:tr2bl w:val="nil"/>
            </w:tcBorders>
            <w:vAlign w:val="top"/>
          </w:tcPr>
          <w:p>
            <w:pPr>
              <w:jc w:val="both"/>
              <w:rPr>
                <w:rFonts w:hint="default" w:asciiTheme="minorHAnsi" w:hAnsiTheme="minorHAnsi" w:eastAsiaTheme="minorEastAsia" w:cstheme="minorBidi"/>
                <w:b w:val="0"/>
                <w:bCs w:val="0"/>
                <w:kern w:val="2"/>
                <w:sz w:val="28"/>
                <w:szCs w:val="28"/>
                <w:vertAlign w:val="baseline"/>
                <w:lang w:val="en-US" w:eastAsia="zh-CN" w:bidi="ar-SA"/>
              </w:rPr>
            </w:pPr>
            <w:r>
              <w:rPr>
                <w:rFonts w:hint="eastAsia"/>
                <w:b w:val="0"/>
                <w:bCs w:val="0"/>
                <w:sz w:val="28"/>
                <w:szCs w:val="28"/>
                <w:vertAlign w:val="baseline"/>
                <w:lang w:val="en-US" w:eastAsia="zh-CN"/>
              </w:rPr>
              <w:t>地址：</w:t>
            </w:r>
            <w:r>
              <w:rPr>
                <w:rFonts w:hint="default" w:ascii="Times New Roman" w:hAnsi="Times New Roman" w:cs="Times New Roman"/>
                <w:b w:val="0"/>
                <w:bCs w:val="0"/>
                <w:sz w:val="28"/>
                <w:szCs w:val="28"/>
                <w:vertAlign w:val="baseline"/>
                <w:lang w:val="en-US" w:eastAsia="zh-CN"/>
              </w:rPr>
              <w:t>南通市崇川区永兴街道永兴路218号20幢</w:t>
            </w:r>
          </w:p>
        </w:tc>
      </w:tr>
    </w:tbl>
    <w:p>
      <w:pPr>
        <w:jc w:val="both"/>
        <w:rPr>
          <w:rFonts w:hint="default"/>
          <w:b/>
          <w:bCs/>
          <w:sz w:val="28"/>
          <w:szCs w:val="28"/>
          <w:lang w:val="en-US" w:eastAsia="zh-CN"/>
        </w:rPr>
      </w:pPr>
    </w:p>
    <w:p>
      <w:pPr>
        <w:jc w:val="both"/>
        <w:rPr>
          <w:rFonts w:hint="default"/>
          <w:b/>
          <w:bCs/>
          <w:sz w:val="28"/>
          <w:szCs w:val="28"/>
          <w:lang w:val="en-US" w:eastAsia="zh-CN"/>
        </w:rPr>
      </w:pPr>
    </w:p>
    <w:p>
      <w:pPr>
        <w:jc w:val="both"/>
        <w:rPr>
          <w:rFonts w:hint="default"/>
          <w:b/>
          <w:bCs/>
          <w:sz w:val="28"/>
          <w:szCs w:val="28"/>
          <w:lang w:val="en-US" w:eastAsia="zh-CN"/>
        </w:rPr>
      </w:pPr>
    </w:p>
    <w:p>
      <w:pPr>
        <w:jc w:val="both"/>
        <w:rPr>
          <w:rFonts w:hint="default"/>
          <w:b/>
          <w:bCs/>
          <w:sz w:val="28"/>
          <w:szCs w:val="28"/>
          <w:lang w:val="en-US" w:eastAsia="zh-CN"/>
        </w:rPr>
      </w:pPr>
    </w:p>
    <w:p>
      <w:pPr>
        <w:jc w:val="both"/>
        <w:rPr>
          <w:rFonts w:hint="default"/>
          <w:b/>
          <w:bCs/>
          <w:sz w:val="28"/>
          <w:szCs w:val="28"/>
          <w:lang w:val="en-US" w:eastAsia="zh-CN"/>
        </w:rPr>
      </w:pPr>
    </w:p>
    <w:p>
      <w:pPr>
        <w:pStyle w:val="15"/>
        <w:tabs>
          <w:tab w:val="right" w:leader="dot" w:pos="8306"/>
        </w:tabs>
        <w:jc w:val="center"/>
        <w:rPr>
          <w:rFonts w:hint="default"/>
          <w:b/>
          <w:bCs/>
          <w:sz w:val="32"/>
          <w:szCs w:val="32"/>
          <w:lang w:val="en-US" w:eastAsia="zh-CN"/>
        </w:rPr>
      </w:pPr>
      <w:r>
        <w:rPr>
          <w:rFonts w:hint="eastAsia"/>
          <w:b/>
          <w:bCs/>
          <w:sz w:val="32"/>
          <w:szCs w:val="32"/>
          <w:lang w:val="en-US" w:eastAsia="zh-CN"/>
        </w:rPr>
        <w:t>目  录</w:t>
      </w:r>
    </w:p>
    <w:p>
      <w:pPr>
        <w:pStyle w:val="15"/>
        <w:tabs>
          <w:tab w:val="right" w:leader="dot" w:pos="8306"/>
        </w:tabs>
        <w:rPr>
          <w:rFonts w:hint="eastAsia" w:ascii="宋体" w:hAnsi="宋体" w:eastAsia="宋体" w:cs="宋体"/>
          <w:b/>
          <w:bCs/>
          <w:sz w:val="28"/>
          <w:szCs w:val="28"/>
        </w:rPr>
      </w:pPr>
      <w:r>
        <w:rPr>
          <w:rFonts w:hint="eastAsia" w:ascii="宋体" w:hAnsi="宋体" w:eastAsia="宋体" w:cs="宋体"/>
          <w:b/>
          <w:bCs/>
          <w:sz w:val="28"/>
          <w:szCs w:val="28"/>
          <w:lang w:val="en-US" w:eastAsia="zh-CN"/>
        </w:rPr>
        <w:fldChar w:fldCharType="begin"/>
      </w:r>
      <w:r>
        <w:rPr>
          <w:rFonts w:hint="eastAsia" w:ascii="宋体" w:hAnsi="宋体" w:eastAsia="宋体" w:cs="宋体"/>
          <w:b/>
          <w:bCs/>
          <w:sz w:val="28"/>
          <w:szCs w:val="28"/>
          <w:lang w:val="en-US" w:eastAsia="zh-CN"/>
        </w:rPr>
        <w:instrText xml:space="preserve">TOC \o "1-3" \h \u </w:instrText>
      </w:r>
      <w:r>
        <w:rPr>
          <w:rFonts w:hint="eastAsia" w:ascii="宋体" w:hAnsi="宋体" w:eastAsia="宋体" w:cs="宋体"/>
          <w:b/>
          <w:bCs/>
          <w:sz w:val="28"/>
          <w:szCs w:val="28"/>
          <w:lang w:val="en-US" w:eastAsia="zh-CN"/>
        </w:rPr>
        <w:fldChar w:fldCharType="separate"/>
      </w:r>
      <w:r>
        <w:rPr>
          <w:rFonts w:hint="eastAsia" w:ascii="宋体" w:hAnsi="宋体" w:eastAsia="宋体" w:cs="宋体"/>
          <w:b/>
          <w:bCs/>
          <w:sz w:val="28"/>
          <w:szCs w:val="28"/>
          <w:lang w:val="en-US" w:eastAsia="zh-CN"/>
        </w:rPr>
        <w:fldChar w:fldCharType="begin"/>
      </w:r>
      <w:r>
        <w:rPr>
          <w:rFonts w:hint="eastAsia" w:ascii="宋体" w:hAnsi="宋体" w:eastAsia="宋体" w:cs="宋体"/>
          <w:b/>
          <w:bCs/>
          <w:sz w:val="28"/>
          <w:szCs w:val="28"/>
          <w:lang w:val="en-US" w:eastAsia="zh-CN"/>
        </w:rPr>
        <w:instrText xml:space="preserve"> HYPERLINK \l _Toc27681 </w:instrText>
      </w:r>
      <w:r>
        <w:rPr>
          <w:rFonts w:hint="eastAsia" w:ascii="宋体" w:hAnsi="宋体" w:eastAsia="宋体" w:cs="宋体"/>
          <w:b/>
          <w:bCs/>
          <w:sz w:val="28"/>
          <w:szCs w:val="28"/>
          <w:lang w:val="en-US" w:eastAsia="zh-CN"/>
        </w:rPr>
        <w:fldChar w:fldCharType="separate"/>
      </w:r>
      <w:r>
        <w:rPr>
          <w:rFonts w:hint="eastAsia" w:ascii="宋体" w:hAnsi="宋体" w:eastAsia="宋体" w:cs="宋体"/>
          <w:b/>
          <w:bCs/>
          <w:sz w:val="28"/>
          <w:szCs w:val="28"/>
          <w:lang w:val="en-US" w:eastAsia="zh-CN"/>
        </w:rPr>
        <w:t>表一</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_Toc27681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fldChar w:fldCharType="end"/>
      </w:r>
    </w:p>
    <w:p>
      <w:pPr>
        <w:pStyle w:val="15"/>
        <w:tabs>
          <w:tab w:val="right" w:leader="dot" w:pos="8306"/>
        </w:tabs>
        <w:rPr>
          <w:rFonts w:hint="eastAsia" w:ascii="宋体" w:hAnsi="宋体" w:eastAsia="宋体" w:cs="宋体"/>
          <w:b/>
          <w:bCs/>
          <w:sz w:val="28"/>
          <w:szCs w:val="28"/>
        </w:rPr>
      </w:pPr>
      <w:r>
        <w:rPr>
          <w:rFonts w:hint="eastAsia" w:ascii="宋体" w:hAnsi="宋体" w:eastAsia="宋体" w:cs="宋体"/>
          <w:b/>
          <w:bCs/>
          <w:sz w:val="28"/>
          <w:szCs w:val="28"/>
          <w:lang w:val="en-US" w:eastAsia="zh-CN"/>
        </w:rPr>
        <w:fldChar w:fldCharType="begin"/>
      </w:r>
      <w:r>
        <w:rPr>
          <w:rFonts w:hint="eastAsia" w:ascii="宋体" w:hAnsi="宋体" w:eastAsia="宋体" w:cs="宋体"/>
          <w:b/>
          <w:bCs/>
          <w:sz w:val="28"/>
          <w:szCs w:val="28"/>
          <w:lang w:val="en-US" w:eastAsia="zh-CN"/>
        </w:rPr>
        <w:instrText xml:space="preserve"> HYPERLINK \l _Toc7354 </w:instrText>
      </w:r>
      <w:r>
        <w:rPr>
          <w:rFonts w:hint="eastAsia" w:ascii="宋体" w:hAnsi="宋体" w:eastAsia="宋体" w:cs="宋体"/>
          <w:b/>
          <w:bCs/>
          <w:sz w:val="28"/>
          <w:szCs w:val="28"/>
          <w:lang w:val="en-US" w:eastAsia="zh-CN"/>
        </w:rPr>
        <w:fldChar w:fldCharType="separate"/>
      </w:r>
      <w:r>
        <w:rPr>
          <w:rFonts w:hint="eastAsia" w:ascii="宋体" w:hAnsi="宋体" w:eastAsia="宋体" w:cs="宋体"/>
          <w:b/>
          <w:bCs/>
          <w:sz w:val="28"/>
          <w:szCs w:val="28"/>
          <w:lang w:val="en-US" w:eastAsia="zh-CN"/>
        </w:rPr>
        <w:t>表二</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_Toc7354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5</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fldChar w:fldCharType="end"/>
      </w:r>
    </w:p>
    <w:p>
      <w:pPr>
        <w:pStyle w:val="15"/>
        <w:tabs>
          <w:tab w:val="right" w:leader="dot" w:pos="8306"/>
        </w:tabs>
        <w:rPr>
          <w:rFonts w:hint="default" w:ascii="宋体" w:hAnsi="宋体" w:eastAsia="宋体" w:cs="宋体"/>
          <w:b/>
          <w:bCs/>
          <w:sz w:val="28"/>
          <w:szCs w:val="28"/>
          <w:lang w:val="en-US"/>
        </w:rPr>
      </w:pPr>
      <w:r>
        <w:rPr>
          <w:rFonts w:hint="eastAsia" w:ascii="宋体" w:hAnsi="宋体" w:eastAsia="宋体" w:cs="宋体"/>
          <w:b/>
          <w:bCs/>
          <w:sz w:val="28"/>
          <w:szCs w:val="28"/>
          <w:lang w:val="en-US" w:eastAsia="zh-CN"/>
        </w:rPr>
        <w:fldChar w:fldCharType="begin"/>
      </w:r>
      <w:r>
        <w:rPr>
          <w:rFonts w:hint="eastAsia" w:ascii="宋体" w:hAnsi="宋体" w:eastAsia="宋体" w:cs="宋体"/>
          <w:b/>
          <w:bCs/>
          <w:sz w:val="28"/>
          <w:szCs w:val="28"/>
          <w:lang w:val="en-US" w:eastAsia="zh-CN"/>
        </w:rPr>
        <w:instrText xml:space="preserve"> HYPERLINK \l _Toc30315 </w:instrText>
      </w:r>
      <w:r>
        <w:rPr>
          <w:rFonts w:hint="eastAsia" w:ascii="宋体" w:hAnsi="宋体" w:eastAsia="宋体" w:cs="宋体"/>
          <w:b/>
          <w:bCs/>
          <w:sz w:val="28"/>
          <w:szCs w:val="28"/>
          <w:lang w:val="en-US" w:eastAsia="zh-CN"/>
        </w:rPr>
        <w:fldChar w:fldCharType="separate"/>
      </w:r>
      <w:r>
        <w:rPr>
          <w:rFonts w:hint="eastAsia" w:ascii="宋体" w:hAnsi="宋体" w:eastAsia="宋体" w:cs="宋体"/>
          <w:b/>
          <w:bCs/>
          <w:sz w:val="28"/>
          <w:szCs w:val="28"/>
          <w:lang w:val="en-US" w:eastAsia="zh-CN"/>
        </w:rPr>
        <w:t>表三</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2</w:t>
      </w:r>
      <w:r>
        <w:rPr>
          <w:rFonts w:hint="eastAsia" w:ascii="宋体" w:hAnsi="宋体" w:eastAsia="宋体" w:cs="宋体"/>
          <w:b/>
          <w:bCs/>
          <w:sz w:val="28"/>
          <w:szCs w:val="28"/>
          <w:lang w:val="en-US" w:eastAsia="zh-CN"/>
        </w:rPr>
        <w:fldChar w:fldCharType="end"/>
      </w:r>
      <w:r>
        <w:rPr>
          <w:rFonts w:hint="eastAsia" w:ascii="宋体" w:hAnsi="宋体" w:eastAsia="宋体" w:cs="宋体"/>
          <w:b/>
          <w:bCs/>
          <w:sz w:val="28"/>
          <w:szCs w:val="28"/>
          <w:lang w:val="en-US" w:eastAsia="zh-CN"/>
        </w:rPr>
        <w:t>2</w:t>
      </w:r>
    </w:p>
    <w:p>
      <w:pPr>
        <w:pStyle w:val="15"/>
        <w:tabs>
          <w:tab w:val="right" w:leader="dot" w:pos="8306"/>
        </w:tabs>
        <w:rPr>
          <w:rFonts w:hint="default" w:ascii="宋体" w:hAnsi="宋体" w:eastAsia="宋体" w:cs="宋体"/>
          <w:b/>
          <w:bCs/>
          <w:sz w:val="28"/>
          <w:szCs w:val="28"/>
          <w:lang w:val="en-US"/>
        </w:rPr>
      </w:pPr>
      <w:r>
        <w:rPr>
          <w:rFonts w:hint="eastAsia" w:ascii="宋体" w:hAnsi="宋体" w:eastAsia="宋体" w:cs="宋体"/>
          <w:b/>
          <w:bCs/>
          <w:sz w:val="28"/>
          <w:szCs w:val="28"/>
          <w:lang w:val="en-US" w:eastAsia="zh-CN"/>
        </w:rPr>
        <w:fldChar w:fldCharType="begin"/>
      </w:r>
      <w:r>
        <w:rPr>
          <w:rFonts w:hint="eastAsia" w:ascii="宋体" w:hAnsi="宋体" w:eastAsia="宋体" w:cs="宋体"/>
          <w:b/>
          <w:bCs/>
          <w:sz w:val="28"/>
          <w:szCs w:val="28"/>
          <w:lang w:val="en-US" w:eastAsia="zh-CN"/>
        </w:rPr>
        <w:instrText xml:space="preserve"> HYPERLINK \l _Toc17134 </w:instrText>
      </w:r>
      <w:r>
        <w:rPr>
          <w:rFonts w:hint="eastAsia" w:ascii="宋体" w:hAnsi="宋体" w:eastAsia="宋体" w:cs="宋体"/>
          <w:b/>
          <w:bCs/>
          <w:sz w:val="28"/>
          <w:szCs w:val="28"/>
          <w:lang w:val="en-US" w:eastAsia="zh-CN"/>
        </w:rPr>
        <w:fldChar w:fldCharType="separate"/>
      </w:r>
      <w:r>
        <w:rPr>
          <w:rFonts w:hint="eastAsia" w:ascii="宋体" w:hAnsi="宋体" w:eastAsia="宋体" w:cs="宋体"/>
          <w:b/>
          <w:bCs/>
          <w:sz w:val="28"/>
          <w:szCs w:val="28"/>
          <w:lang w:val="en-US" w:eastAsia="zh-CN"/>
        </w:rPr>
        <w:t>表四</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3</w:t>
      </w:r>
      <w:r>
        <w:rPr>
          <w:rFonts w:hint="eastAsia" w:ascii="宋体" w:hAnsi="宋体" w:eastAsia="宋体" w:cs="宋体"/>
          <w:b/>
          <w:bCs/>
          <w:sz w:val="28"/>
          <w:szCs w:val="28"/>
          <w:lang w:val="en-US" w:eastAsia="zh-CN"/>
        </w:rPr>
        <w:fldChar w:fldCharType="end"/>
      </w:r>
      <w:r>
        <w:rPr>
          <w:rFonts w:hint="eastAsia" w:ascii="宋体" w:hAnsi="宋体" w:eastAsia="宋体" w:cs="宋体"/>
          <w:b/>
          <w:bCs/>
          <w:sz w:val="28"/>
          <w:szCs w:val="28"/>
          <w:lang w:val="en-US" w:eastAsia="zh-CN"/>
        </w:rPr>
        <w:t>2</w:t>
      </w:r>
    </w:p>
    <w:p>
      <w:pPr>
        <w:pStyle w:val="15"/>
        <w:tabs>
          <w:tab w:val="right" w:leader="dot" w:pos="8306"/>
        </w:tabs>
        <w:rPr>
          <w:rFonts w:hint="default" w:ascii="宋体" w:hAnsi="宋体" w:eastAsia="宋体" w:cs="宋体"/>
          <w:b/>
          <w:bCs/>
          <w:sz w:val="28"/>
          <w:szCs w:val="28"/>
          <w:lang w:val="en-US"/>
        </w:rPr>
      </w:pPr>
      <w:r>
        <w:rPr>
          <w:rFonts w:hint="eastAsia" w:ascii="宋体" w:hAnsi="宋体" w:eastAsia="宋体" w:cs="宋体"/>
          <w:b/>
          <w:bCs/>
          <w:sz w:val="28"/>
          <w:szCs w:val="28"/>
          <w:lang w:val="en-US" w:eastAsia="zh-CN"/>
        </w:rPr>
        <w:fldChar w:fldCharType="begin"/>
      </w:r>
      <w:r>
        <w:rPr>
          <w:rFonts w:hint="eastAsia" w:ascii="宋体" w:hAnsi="宋体" w:eastAsia="宋体" w:cs="宋体"/>
          <w:b/>
          <w:bCs/>
          <w:sz w:val="28"/>
          <w:szCs w:val="28"/>
          <w:lang w:val="en-US" w:eastAsia="zh-CN"/>
        </w:rPr>
        <w:instrText xml:space="preserve"> HYPERLINK \l _Toc17054 </w:instrText>
      </w:r>
      <w:r>
        <w:rPr>
          <w:rFonts w:hint="eastAsia" w:ascii="宋体" w:hAnsi="宋体" w:eastAsia="宋体" w:cs="宋体"/>
          <w:b/>
          <w:bCs/>
          <w:sz w:val="28"/>
          <w:szCs w:val="28"/>
          <w:lang w:val="en-US" w:eastAsia="zh-CN"/>
        </w:rPr>
        <w:fldChar w:fldCharType="separate"/>
      </w:r>
      <w:r>
        <w:rPr>
          <w:rFonts w:hint="eastAsia" w:ascii="宋体" w:hAnsi="宋体" w:eastAsia="宋体" w:cs="宋体"/>
          <w:b/>
          <w:bCs/>
          <w:sz w:val="28"/>
          <w:szCs w:val="28"/>
          <w:lang w:val="en-US" w:eastAsia="zh-CN"/>
        </w:rPr>
        <w:t>表五</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3</w:t>
      </w:r>
      <w:r>
        <w:rPr>
          <w:rFonts w:hint="eastAsia" w:ascii="宋体" w:hAnsi="宋体" w:eastAsia="宋体" w:cs="宋体"/>
          <w:b/>
          <w:bCs/>
          <w:sz w:val="28"/>
          <w:szCs w:val="28"/>
          <w:lang w:val="en-US" w:eastAsia="zh-CN"/>
        </w:rPr>
        <w:fldChar w:fldCharType="end"/>
      </w:r>
      <w:r>
        <w:rPr>
          <w:rFonts w:hint="eastAsia" w:ascii="宋体" w:hAnsi="宋体" w:eastAsia="宋体" w:cs="宋体"/>
          <w:b/>
          <w:bCs/>
          <w:sz w:val="28"/>
          <w:szCs w:val="28"/>
          <w:lang w:val="en-US" w:eastAsia="zh-CN"/>
        </w:rPr>
        <w:t>5</w:t>
      </w:r>
    </w:p>
    <w:p>
      <w:pPr>
        <w:pStyle w:val="15"/>
        <w:tabs>
          <w:tab w:val="right" w:leader="dot" w:pos="8306"/>
        </w:tabs>
        <w:rPr>
          <w:rFonts w:hint="default" w:ascii="宋体" w:hAnsi="宋体" w:eastAsia="宋体" w:cs="宋体"/>
          <w:b/>
          <w:bCs/>
          <w:sz w:val="28"/>
          <w:szCs w:val="28"/>
          <w:lang w:val="en-US"/>
        </w:rPr>
      </w:pPr>
      <w:r>
        <w:rPr>
          <w:rFonts w:hint="eastAsia" w:ascii="宋体" w:hAnsi="宋体" w:eastAsia="宋体" w:cs="宋体"/>
          <w:b/>
          <w:bCs/>
          <w:sz w:val="28"/>
          <w:szCs w:val="28"/>
          <w:lang w:val="en-US" w:eastAsia="zh-CN"/>
        </w:rPr>
        <w:fldChar w:fldCharType="begin"/>
      </w:r>
      <w:r>
        <w:rPr>
          <w:rFonts w:hint="eastAsia" w:ascii="宋体" w:hAnsi="宋体" w:eastAsia="宋体" w:cs="宋体"/>
          <w:b/>
          <w:bCs/>
          <w:sz w:val="28"/>
          <w:szCs w:val="28"/>
          <w:lang w:val="en-US" w:eastAsia="zh-CN"/>
        </w:rPr>
        <w:instrText xml:space="preserve"> HYPERLINK \l _Toc2616 </w:instrText>
      </w:r>
      <w:r>
        <w:rPr>
          <w:rFonts w:hint="eastAsia" w:ascii="宋体" w:hAnsi="宋体" w:eastAsia="宋体" w:cs="宋体"/>
          <w:b/>
          <w:bCs/>
          <w:sz w:val="28"/>
          <w:szCs w:val="28"/>
          <w:lang w:val="en-US" w:eastAsia="zh-CN"/>
        </w:rPr>
        <w:fldChar w:fldCharType="separate"/>
      </w:r>
      <w:r>
        <w:rPr>
          <w:rFonts w:hint="eastAsia" w:ascii="宋体" w:hAnsi="宋体" w:eastAsia="宋体" w:cs="宋体"/>
          <w:b/>
          <w:bCs/>
          <w:sz w:val="28"/>
          <w:szCs w:val="28"/>
          <w:lang w:val="en-US" w:eastAsia="zh-CN"/>
        </w:rPr>
        <w:t>表六</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3</w:t>
      </w:r>
      <w:r>
        <w:rPr>
          <w:rFonts w:hint="eastAsia" w:ascii="宋体" w:hAnsi="宋体" w:eastAsia="宋体" w:cs="宋体"/>
          <w:b/>
          <w:bCs/>
          <w:sz w:val="28"/>
          <w:szCs w:val="28"/>
          <w:lang w:val="en-US" w:eastAsia="zh-CN"/>
        </w:rPr>
        <w:fldChar w:fldCharType="end"/>
      </w:r>
      <w:r>
        <w:rPr>
          <w:rFonts w:hint="eastAsia" w:ascii="宋体" w:hAnsi="宋体" w:eastAsia="宋体" w:cs="宋体"/>
          <w:b/>
          <w:bCs/>
          <w:sz w:val="28"/>
          <w:szCs w:val="28"/>
          <w:lang w:val="en-US" w:eastAsia="zh-CN"/>
        </w:rPr>
        <w:t>8</w:t>
      </w:r>
    </w:p>
    <w:p>
      <w:pPr>
        <w:pStyle w:val="15"/>
        <w:tabs>
          <w:tab w:val="right" w:leader="dot" w:pos="8306"/>
        </w:tabs>
        <w:rPr>
          <w:rFonts w:hint="default" w:ascii="宋体" w:hAnsi="宋体" w:eastAsia="宋体" w:cs="宋体"/>
          <w:b/>
          <w:bCs/>
          <w:sz w:val="28"/>
          <w:szCs w:val="28"/>
          <w:lang w:val="en-US"/>
        </w:rPr>
      </w:pPr>
      <w:r>
        <w:rPr>
          <w:rFonts w:hint="eastAsia" w:ascii="宋体" w:hAnsi="宋体" w:eastAsia="宋体" w:cs="宋体"/>
          <w:b/>
          <w:bCs/>
          <w:sz w:val="28"/>
          <w:szCs w:val="28"/>
          <w:lang w:val="en-US" w:eastAsia="zh-CN"/>
        </w:rPr>
        <w:fldChar w:fldCharType="begin"/>
      </w:r>
      <w:r>
        <w:rPr>
          <w:rFonts w:hint="eastAsia" w:ascii="宋体" w:hAnsi="宋体" w:eastAsia="宋体" w:cs="宋体"/>
          <w:b/>
          <w:bCs/>
          <w:sz w:val="28"/>
          <w:szCs w:val="28"/>
          <w:lang w:val="en-US" w:eastAsia="zh-CN"/>
        </w:rPr>
        <w:instrText xml:space="preserve"> HYPERLINK \l _Toc18503 </w:instrText>
      </w:r>
      <w:r>
        <w:rPr>
          <w:rFonts w:hint="eastAsia" w:ascii="宋体" w:hAnsi="宋体" w:eastAsia="宋体" w:cs="宋体"/>
          <w:b/>
          <w:bCs/>
          <w:sz w:val="28"/>
          <w:szCs w:val="28"/>
          <w:lang w:val="en-US" w:eastAsia="zh-CN"/>
        </w:rPr>
        <w:fldChar w:fldCharType="separate"/>
      </w:r>
      <w:r>
        <w:rPr>
          <w:rFonts w:hint="eastAsia" w:ascii="宋体" w:hAnsi="宋体" w:eastAsia="宋体" w:cs="宋体"/>
          <w:b/>
          <w:bCs/>
          <w:sz w:val="28"/>
          <w:szCs w:val="28"/>
          <w:lang w:val="en-US" w:eastAsia="zh-CN"/>
        </w:rPr>
        <w:t>表七</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4</w:t>
      </w:r>
      <w:r>
        <w:rPr>
          <w:rFonts w:hint="eastAsia" w:ascii="宋体" w:hAnsi="宋体" w:eastAsia="宋体" w:cs="宋体"/>
          <w:b/>
          <w:bCs/>
          <w:sz w:val="28"/>
          <w:szCs w:val="28"/>
          <w:lang w:val="en-US" w:eastAsia="zh-CN"/>
        </w:rPr>
        <w:fldChar w:fldCharType="end"/>
      </w:r>
      <w:r>
        <w:rPr>
          <w:rFonts w:hint="eastAsia" w:ascii="宋体" w:hAnsi="宋体" w:eastAsia="宋体" w:cs="宋体"/>
          <w:b/>
          <w:bCs/>
          <w:sz w:val="28"/>
          <w:szCs w:val="28"/>
          <w:lang w:val="en-US" w:eastAsia="zh-CN"/>
        </w:rPr>
        <w:t>0</w:t>
      </w:r>
    </w:p>
    <w:p>
      <w:pPr>
        <w:pStyle w:val="15"/>
        <w:tabs>
          <w:tab w:val="right" w:leader="dot" w:pos="8306"/>
        </w:tabs>
        <w:rPr>
          <w:rFonts w:hint="eastAsia" w:ascii="宋体" w:hAnsi="宋体" w:eastAsia="宋体" w:cs="宋体"/>
          <w:b/>
          <w:bCs/>
          <w:sz w:val="28"/>
          <w:szCs w:val="28"/>
        </w:rPr>
      </w:pPr>
      <w:r>
        <w:rPr>
          <w:rFonts w:hint="eastAsia" w:ascii="宋体" w:hAnsi="宋体" w:eastAsia="宋体" w:cs="宋体"/>
          <w:b/>
          <w:bCs/>
          <w:sz w:val="28"/>
          <w:szCs w:val="28"/>
          <w:lang w:val="en-US" w:eastAsia="zh-CN"/>
        </w:rPr>
        <w:fldChar w:fldCharType="begin"/>
      </w:r>
      <w:r>
        <w:rPr>
          <w:rFonts w:hint="eastAsia" w:ascii="宋体" w:hAnsi="宋体" w:eastAsia="宋体" w:cs="宋体"/>
          <w:b/>
          <w:bCs/>
          <w:sz w:val="28"/>
          <w:szCs w:val="28"/>
          <w:lang w:val="en-US" w:eastAsia="zh-CN"/>
        </w:rPr>
        <w:instrText xml:space="preserve"> HYPERLINK \l _Toc6677 </w:instrText>
      </w:r>
      <w:r>
        <w:rPr>
          <w:rFonts w:hint="eastAsia" w:ascii="宋体" w:hAnsi="宋体" w:eastAsia="宋体" w:cs="宋体"/>
          <w:b/>
          <w:bCs/>
          <w:sz w:val="28"/>
          <w:szCs w:val="28"/>
          <w:lang w:val="en-US" w:eastAsia="zh-CN"/>
        </w:rPr>
        <w:fldChar w:fldCharType="separate"/>
      </w:r>
      <w:r>
        <w:rPr>
          <w:rFonts w:hint="eastAsia" w:ascii="宋体" w:hAnsi="宋体" w:eastAsia="宋体" w:cs="宋体"/>
          <w:b/>
          <w:bCs/>
          <w:sz w:val="28"/>
          <w:szCs w:val="28"/>
          <w:lang w:val="en-US" w:eastAsia="zh-CN"/>
        </w:rPr>
        <w:t>表八</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_Toc6677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lang w:val="en-US" w:eastAsia="zh-CN"/>
        </w:rPr>
        <w:t>46</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fldChar w:fldCharType="end"/>
      </w:r>
    </w:p>
    <w:p>
      <w:p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fldChar w:fldCharType="end"/>
      </w:r>
    </w:p>
    <w:p>
      <w:pPr>
        <w:jc w:val="both"/>
        <w:rPr>
          <w:rFonts w:hint="default"/>
          <w:b/>
          <w:bCs/>
          <w:sz w:val="28"/>
          <w:szCs w:val="28"/>
          <w:lang w:val="en-US" w:eastAsia="zh-CN"/>
        </w:rPr>
      </w:pPr>
    </w:p>
    <w:p>
      <w:pPr>
        <w:jc w:val="both"/>
        <w:rPr>
          <w:rFonts w:hint="default"/>
          <w:b/>
          <w:bCs/>
          <w:sz w:val="28"/>
          <w:szCs w:val="28"/>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4"/>
        <w:bidi w:val="0"/>
        <w:rPr>
          <w:rFonts w:hint="eastAsia" w:ascii="宋体" w:hAnsi="宋体" w:eastAsia="宋体" w:cs="宋体"/>
          <w:sz w:val="32"/>
          <w:szCs w:val="20"/>
          <w:lang w:val="en-US" w:eastAsia="zh-CN"/>
        </w:rPr>
      </w:pPr>
      <w:bookmarkStart w:id="0" w:name="_Toc27681"/>
      <w:r>
        <w:rPr>
          <w:rFonts w:hint="eastAsia" w:ascii="宋体" w:hAnsi="宋体" w:eastAsia="宋体" w:cs="宋体"/>
          <w:sz w:val="32"/>
          <w:szCs w:val="20"/>
          <w:lang w:val="en-US" w:eastAsia="zh-CN"/>
        </w:rPr>
        <w:t>表一</w:t>
      </w:r>
      <w:bookmarkEnd w:id="0"/>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7"/>
        <w:gridCol w:w="2356"/>
        <w:gridCol w:w="2117"/>
        <w:gridCol w:w="2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jc w:val="center"/>
              <w:rPr>
                <w:rFonts w:hint="default" w:ascii="Times New Roman" w:hAnsi="Times New Roman" w:eastAsia="宋体" w:cs="Times New Roman"/>
                <w:color w:val="000000"/>
                <w:kern w:val="2"/>
                <w:sz w:val="24"/>
                <w:szCs w:val="24"/>
                <w:lang w:val="en-US" w:eastAsia="zh-CN" w:bidi="ar-SA"/>
              </w:rPr>
            </w:pPr>
            <w:r>
              <w:rPr>
                <w:rFonts w:hint="default" w:ascii="Times New Roman" w:hAnsi="Times New Roman" w:eastAsia="宋体" w:cs="Times New Roman"/>
                <w:color w:val="000000"/>
                <w:sz w:val="24"/>
                <w:szCs w:val="24"/>
              </w:rPr>
              <w:t>建设项目名称</w:t>
            </w:r>
          </w:p>
        </w:tc>
        <w:tc>
          <w:tcPr>
            <w:tcW w:w="3933" w:type="pct"/>
            <w:gridSpan w:val="3"/>
            <w:vAlign w:val="center"/>
          </w:tcPr>
          <w:p>
            <w:pPr>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sz w:val="24"/>
                <w:szCs w:val="24"/>
              </w:rPr>
              <w:t>江苏标普检测科技有限公司新建实验室项目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jc w:val="center"/>
              <w:rPr>
                <w:rFonts w:hint="default" w:ascii="Times New Roman" w:hAnsi="Times New Roman" w:eastAsia="宋体" w:cs="Times New Roman"/>
                <w:color w:val="000000"/>
                <w:kern w:val="2"/>
                <w:sz w:val="24"/>
                <w:szCs w:val="24"/>
                <w:lang w:val="en-US" w:eastAsia="zh-CN" w:bidi="ar-SA"/>
              </w:rPr>
            </w:pPr>
            <w:r>
              <w:rPr>
                <w:rFonts w:hint="default" w:ascii="Times New Roman" w:hAnsi="Times New Roman" w:eastAsia="宋体" w:cs="Times New Roman"/>
                <w:color w:val="000000"/>
                <w:sz w:val="24"/>
                <w:szCs w:val="24"/>
              </w:rPr>
              <w:t>建设单位名称</w:t>
            </w:r>
          </w:p>
        </w:tc>
        <w:tc>
          <w:tcPr>
            <w:tcW w:w="3933" w:type="pct"/>
            <w:gridSpan w:val="3"/>
            <w:vAlign w:val="center"/>
          </w:tcPr>
          <w:p>
            <w:pPr>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sz w:val="24"/>
                <w:szCs w:val="24"/>
              </w:rPr>
              <w:t>江苏标普检测科技有限公司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jc w:val="center"/>
              <w:rPr>
                <w:rFonts w:hint="default" w:ascii="Times New Roman" w:hAnsi="Times New Roman" w:eastAsia="宋体" w:cs="Times New Roman"/>
                <w:color w:val="000000"/>
                <w:kern w:val="2"/>
                <w:sz w:val="24"/>
                <w:szCs w:val="24"/>
                <w:lang w:val="en-US" w:eastAsia="zh-CN" w:bidi="ar-SA"/>
              </w:rPr>
            </w:pPr>
            <w:r>
              <w:rPr>
                <w:rFonts w:hint="default" w:ascii="Times New Roman" w:hAnsi="Times New Roman" w:eastAsia="宋体" w:cs="Times New Roman"/>
                <w:color w:val="000000"/>
                <w:sz w:val="24"/>
                <w:szCs w:val="24"/>
              </w:rPr>
              <w:t>建设项目性质</w:t>
            </w:r>
          </w:p>
        </w:tc>
        <w:tc>
          <w:tcPr>
            <w:tcW w:w="3933" w:type="pct"/>
            <w:gridSpan w:val="3"/>
            <w:vAlign w:val="center"/>
          </w:tcPr>
          <w:p>
            <w:pPr>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sym w:font="Wingdings 2" w:char="0052"/>
            </w:r>
            <w:r>
              <w:rPr>
                <w:rFonts w:hint="default" w:ascii="Times New Roman" w:hAnsi="Times New Roman" w:eastAsia="宋体" w:cs="Times New Roman"/>
                <w:b w:val="0"/>
                <w:bCs w:val="0"/>
                <w:sz w:val="24"/>
                <w:szCs w:val="24"/>
                <w:vertAlign w:val="baseline"/>
                <w:lang w:val="en-US" w:eastAsia="zh-CN"/>
              </w:rPr>
              <w:t xml:space="preserve">新建（迁建）     </w:t>
            </w:r>
            <w:r>
              <w:rPr>
                <w:rFonts w:hint="default" w:ascii="Times New Roman" w:hAnsi="Times New Roman" w:eastAsia="宋体" w:cs="Times New Roman"/>
                <w:b w:val="0"/>
                <w:bCs w:val="0"/>
                <w:sz w:val="24"/>
                <w:szCs w:val="24"/>
                <w:vertAlign w:val="baseline"/>
                <w:lang w:val="en-US" w:eastAsia="zh-CN"/>
              </w:rPr>
              <w:sym w:font="Wingdings 2" w:char="00A3"/>
            </w:r>
            <w:r>
              <w:rPr>
                <w:rFonts w:hint="default" w:ascii="Times New Roman" w:hAnsi="Times New Roman" w:eastAsia="宋体" w:cs="Times New Roman"/>
                <w:b w:val="0"/>
                <w:bCs w:val="0"/>
                <w:sz w:val="24"/>
                <w:szCs w:val="24"/>
                <w:vertAlign w:val="baseline"/>
                <w:lang w:val="en-US" w:eastAsia="zh-CN"/>
              </w:rPr>
              <w:t xml:space="preserve">改建      </w:t>
            </w:r>
            <w:r>
              <w:rPr>
                <w:rFonts w:hint="default" w:ascii="Times New Roman" w:hAnsi="Times New Roman" w:eastAsia="宋体" w:cs="Times New Roman"/>
                <w:b w:val="0"/>
                <w:bCs w:val="0"/>
                <w:sz w:val="24"/>
                <w:szCs w:val="24"/>
                <w:vertAlign w:val="baseline"/>
                <w:lang w:val="en-US" w:eastAsia="zh-CN"/>
              </w:rPr>
              <w:sym w:font="Wingdings 2" w:char="00A3"/>
            </w:r>
            <w:r>
              <w:rPr>
                <w:rFonts w:hint="default" w:ascii="Times New Roman" w:hAnsi="Times New Roman" w:eastAsia="宋体" w:cs="Times New Roman"/>
                <w:b w:val="0"/>
                <w:bCs w:val="0"/>
                <w:sz w:val="24"/>
                <w:szCs w:val="24"/>
                <w:vertAlign w:val="baseline"/>
                <w:lang w:val="en-US" w:eastAsia="zh-CN"/>
              </w:rPr>
              <w:t xml:space="preserve">扩建      </w:t>
            </w:r>
            <w:r>
              <w:rPr>
                <w:rFonts w:hint="default" w:ascii="Times New Roman" w:hAnsi="Times New Roman" w:eastAsia="宋体" w:cs="Times New Roman"/>
                <w:b w:val="0"/>
                <w:bCs w:val="0"/>
                <w:sz w:val="24"/>
                <w:szCs w:val="24"/>
                <w:vertAlign w:val="baseline"/>
                <w:lang w:val="en-US" w:eastAsia="zh-CN"/>
              </w:rPr>
              <w:sym w:font="Wingdings 2" w:char="00A3"/>
            </w:r>
            <w:r>
              <w:rPr>
                <w:rFonts w:hint="default" w:ascii="Times New Roman" w:hAnsi="Times New Roman" w:eastAsia="宋体" w:cs="Times New Roman"/>
                <w:b w:val="0"/>
                <w:bCs w:val="0"/>
                <w:sz w:val="24"/>
                <w:szCs w:val="24"/>
                <w:vertAlign w:val="baseline"/>
                <w:lang w:val="en-US" w:eastAsia="zh-CN"/>
              </w:rPr>
              <w:t>技术改造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jc w:val="center"/>
              <w:rPr>
                <w:rFonts w:hint="default" w:ascii="Times New Roman" w:hAnsi="Times New Roman" w:eastAsia="宋体" w:cs="Times New Roman"/>
                <w:color w:val="000000"/>
                <w:kern w:val="2"/>
                <w:sz w:val="24"/>
                <w:szCs w:val="24"/>
                <w:lang w:val="en-US" w:eastAsia="zh-CN" w:bidi="ar-SA"/>
              </w:rPr>
            </w:pPr>
            <w:r>
              <w:rPr>
                <w:rFonts w:hint="default" w:ascii="Times New Roman" w:hAnsi="Times New Roman" w:eastAsia="宋体" w:cs="Times New Roman"/>
                <w:color w:val="000000"/>
                <w:sz w:val="24"/>
                <w:szCs w:val="24"/>
              </w:rPr>
              <w:t>建设地点</w:t>
            </w:r>
          </w:p>
        </w:tc>
        <w:tc>
          <w:tcPr>
            <w:tcW w:w="3933" w:type="pct"/>
            <w:gridSpan w:val="3"/>
            <w:vAlign w:val="center"/>
          </w:tcPr>
          <w:p>
            <w:pPr>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sz w:val="24"/>
                <w:szCs w:val="24"/>
              </w:rPr>
              <w:t>江苏省南通市崇川区永兴街道永兴路218号20幢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jc w:val="center"/>
              <w:rPr>
                <w:rFonts w:hint="default" w:ascii="Times New Roman" w:hAnsi="Times New Roman" w:eastAsia="宋体" w:cs="Times New Roman"/>
                <w:color w:val="000000"/>
                <w:kern w:val="2"/>
                <w:sz w:val="24"/>
                <w:szCs w:val="24"/>
                <w:lang w:val="en-US" w:eastAsia="zh-CN" w:bidi="ar-SA"/>
              </w:rPr>
            </w:pPr>
            <w:r>
              <w:rPr>
                <w:rFonts w:hint="default" w:ascii="Times New Roman" w:hAnsi="Times New Roman" w:eastAsia="宋体" w:cs="Times New Roman"/>
                <w:color w:val="000000"/>
                <w:kern w:val="2"/>
                <w:sz w:val="24"/>
                <w:szCs w:val="24"/>
                <w:lang w:val="en-US" w:eastAsia="zh-CN" w:bidi="ar-SA"/>
              </w:rPr>
              <w:t>地理坐标</w:t>
            </w:r>
          </w:p>
        </w:tc>
        <w:tc>
          <w:tcPr>
            <w:tcW w:w="3933" w:type="pct"/>
            <w:gridSpan w:val="3"/>
            <w:vAlign w:val="center"/>
          </w:tcPr>
          <w:p>
            <w:pPr>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u w:val="single"/>
              </w:rPr>
              <w:t xml:space="preserve">  120  </w:t>
            </w:r>
            <w:r>
              <w:rPr>
                <w:rFonts w:hint="default" w:ascii="Times New Roman" w:hAnsi="Times New Roman" w:eastAsia="宋体" w:cs="Times New Roman"/>
                <w:sz w:val="24"/>
                <w:szCs w:val="24"/>
              </w:rPr>
              <w:t>度</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49</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分</w:t>
            </w:r>
            <w:r>
              <w:rPr>
                <w:rFonts w:hint="default" w:ascii="Times New Roman" w:hAnsi="Times New Roman" w:eastAsia="宋体" w:cs="Times New Roman"/>
                <w:sz w:val="24"/>
                <w:szCs w:val="24"/>
                <w:u w:val="single"/>
              </w:rPr>
              <w:t xml:space="preserve">  4.886  </w:t>
            </w:r>
            <w:r>
              <w:rPr>
                <w:rFonts w:hint="default" w:ascii="Times New Roman" w:hAnsi="Times New Roman" w:eastAsia="宋体" w:cs="Times New Roman"/>
                <w:sz w:val="24"/>
                <w:szCs w:val="24"/>
              </w:rPr>
              <w:t>秒，</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32</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度</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u w:val="single"/>
                <w:lang w:val="en-US" w:eastAsia="zh-CN"/>
              </w:rPr>
              <w:t xml:space="preserve"> </w:t>
            </w:r>
            <w:r>
              <w:rPr>
                <w:rFonts w:hint="default" w:ascii="Times New Roman" w:hAnsi="Times New Roman" w:eastAsia="宋体" w:cs="Times New Roman"/>
                <w:sz w:val="24"/>
                <w:szCs w:val="24"/>
                <w:u w:val="single"/>
              </w:rPr>
              <w:t xml:space="preserve">2  </w:t>
            </w:r>
            <w:r>
              <w:rPr>
                <w:rFonts w:hint="default" w:ascii="Times New Roman" w:hAnsi="Times New Roman" w:eastAsia="宋体" w:cs="Times New Roman"/>
                <w:sz w:val="24"/>
                <w:szCs w:val="24"/>
              </w:rPr>
              <w:t>分</w:t>
            </w:r>
            <w:r>
              <w:rPr>
                <w:rFonts w:hint="default" w:ascii="Times New Roman" w:hAnsi="Times New Roman" w:eastAsia="宋体" w:cs="Times New Roman"/>
                <w:sz w:val="24"/>
                <w:szCs w:val="24"/>
                <w:u w:val="single"/>
              </w:rPr>
              <w:t xml:space="preserve">  45.568  </w:t>
            </w:r>
            <w:r>
              <w:rPr>
                <w:rFonts w:hint="default" w:ascii="Times New Roman" w:hAnsi="Times New Roman" w:eastAsia="宋体" w:cs="Times New Roman"/>
                <w:sz w:val="24"/>
                <w:szCs w:val="24"/>
              </w:rPr>
              <w:t>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jc w:val="center"/>
              <w:rPr>
                <w:rFonts w:hint="default" w:ascii="Times New Roman" w:hAnsi="Times New Roman" w:eastAsia="宋体" w:cs="Times New Roman"/>
                <w:color w:val="000000"/>
                <w:kern w:val="2"/>
                <w:sz w:val="24"/>
                <w:szCs w:val="24"/>
                <w:lang w:val="en-US" w:eastAsia="zh-CN" w:bidi="ar-SA"/>
              </w:rPr>
            </w:pPr>
            <w:r>
              <w:rPr>
                <w:rFonts w:hint="default" w:ascii="Times New Roman" w:hAnsi="Times New Roman" w:eastAsia="宋体" w:cs="Times New Roman"/>
                <w:color w:val="000000"/>
                <w:kern w:val="2"/>
                <w:sz w:val="24"/>
                <w:szCs w:val="24"/>
                <w:lang w:val="en-US" w:eastAsia="zh-CN" w:bidi="ar-SA"/>
              </w:rPr>
              <w:t>建设单位联系人</w:t>
            </w:r>
          </w:p>
        </w:tc>
        <w:tc>
          <w:tcPr>
            <w:tcW w:w="1382" w:type="pct"/>
            <w:tcBorders>
              <w:bottom w:val="single" w:color="000000" w:sz="4" w:space="0"/>
              <w:right w:val="single" w:color="000000" w:sz="4" w:space="0"/>
            </w:tcBorders>
            <w:vAlign w:val="center"/>
          </w:tcPr>
          <w:p>
            <w:pPr>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陈晨</w:t>
            </w:r>
          </w:p>
        </w:tc>
        <w:tc>
          <w:tcPr>
            <w:tcW w:w="1242" w:type="pct"/>
            <w:tcBorders>
              <w:left w:val="single" w:color="000000" w:sz="4" w:space="0"/>
              <w:bottom w:val="single" w:color="000000" w:sz="4" w:space="0"/>
              <w:right w:val="single" w:color="000000" w:sz="4" w:space="0"/>
            </w:tcBorders>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联系方式</w:t>
            </w:r>
          </w:p>
        </w:tc>
        <w:tc>
          <w:tcPr>
            <w:tcW w:w="1309" w:type="pct"/>
            <w:tcBorders>
              <w:left w:val="single" w:color="000000" w:sz="4" w:space="0"/>
              <w:bottom w:val="single" w:color="000000" w:sz="4" w:space="0"/>
            </w:tcBorders>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13773677768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adjustRightInd w:val="0"/>
              <w:snapToGrid w:val="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国民经济</w:t>
            </w:r>
          </w:p>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行业类别</w:t>
            </w:r>
          </w:p>
        </w:tc>
        <w:tc>
          <w:tcPr>
            <w:tcW w:w="1382" w:type="pct"/>
            <w:tcBorders>
              <w:top w:val="single" w:color="000000" w:sz="4" w:space="0"/>
              <w:right w:val="single" w:color="000000" w:sz="4" w:space="0"/>
            </w:tcBorders>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[M7461]环境保护监测</w:t>
            </w:r>
          </w:p>
        </w:tc>
        <w:tc>
          <w:tcPr>
            <w:tcW w:w="1242" w:type="pct"/>
            <w:tcBorders>
              <w:top w:val="single" w:color="000000" w:sz="4" w:space="0"/>
              <w:left w:val="single" w:color="000000" w:sz="4" w:space="0"/>
              <w:right w:val="single" w:color="000000" w:sz="4" w:space="0"/>
            </w:tcBorders>
            <w:vAlign w:val="center"/>
          </w:tcPr>
          <w:p>
            <w:pPr>
              <w:adjustRightInd w:val="0"/>
              <w:snapToGrid w:val="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建设项目</w:t>
            </w:r>
          </w:p>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行业类别</w:t>
            </w:r>
          </w:p>
        </w:tc>
        <w:tc>
          <w:tcPr>
            <w:tcW w:w="1309" w:type="pct"/>
            <w:tcBorders>
              <w:top w:val="single" w:color="000000" w:sz="4" w:space="0"/>
              <w:left w:val="single" w:color="000000" w:sz="4" w:space="0"/>
            </w:tcBorders>
            <w:vAlign w:val="center"/>
          </w:tcPr>
          <w:p>
            <w:pPr>
              <w:widowControl/>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四十五、研究和试验发展</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98专业实验室、研发（试验）基地；其他（不产生实验废气、废水、危险废物的除外）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项目审批（核准/备案）部门（选填）</w:t>
            </w:r>
          </w:p>
        </w:tc>
        <w:tc>
          <w:tcPr>
            <w:tcW w:w="1382" w:type="pct"/>
            <w:tcBorders>
              <w:right w:val="single" w:color="000000" w:sz="4" w:space="0"/>
            </w:tcBorders>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南通市崇川区行政审批局</w:t>
            </w:r>
          </w:p>
        </w:tc>
        <w:tc>
          <w:tcPr>
            <w:tcW w:w="1242" w:type="pct"/>
            <w:tcBorders>
              <w:left w:val="single" w:color="000000" w:sz="4" w:space="0"/>
              <w:right w:val="single" w:color="000000" w:sz="4" w:space="0"/>
            </w:tcBorders>
            <w:vAlign w:val="center"/>
          </w:tcPr>
          <w:p>
            <w:pPr>
              <w:adjustRightInd w:val="0"/>
              <w:snapToGrid w:val="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项目审批（核准/</w:t>
            </w:r>
          </w:p>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备案）文号（选填）</w:t>
            </w:r>
          </w:p>
        </w:tc>
        <w:tc>
          <w:tcPr>
            <w:tcW w:w="1309" w:type="pct"/>
            <w:tcBorders>
              <w:left w:val="single" w:color="000000" w:sz="4" w:space="0"/>
            </w:tcBorders>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崇行审</w:t>
            </w:r>
            <w:r>
              <w:rPr>
                <w:rFonts w:hint="eastAsia" w:ascii="Times New Roman" w:hAnsi="Times New Roman" w:eastAsia="宋体" w:cs="Times New Roman"/>
                <w:sz w:val="24"/>
                <w:szCs w:val="24"/>
                <w:lang w:val="en-US" w:eastAsia="zh-CN"/>
              </w:rPr>
              <w:t>批2</w:t>
            </w:r>
            <w:r>
              <w:rPr>
                <w:rFonts w:hint="default"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总投资（万元）</w:t>
            </w:r>
          </w:p>
        </w:tc>
        <w:tc>
          <w:tcPr>
            <w:tcW w:w="1382" w:type="pct"/>
            <w:tcBorders>
              <w:right w:val="single" w:color="000000" w:sz="4" w:space="0"/>
            </w:tcBorders>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1000</w:t>
            </w:r>
          </w:p>
        </w:tc>
        <w:tc>
          <w:tcPr>
            <w:tcW w:w="1242" w:type="pct"/>
            <w:tcBorders>
              <w:left w:val="single" w:color="000000" w:sz="4" w:space="0"/>
              <w:right w:val="single" w:color="000000" w:sz="4" w:space="0"/>
            </w:tcBorders>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环保投资（万元）</w:t>
            </w:r>
          </w:p>
        </w:tc>
        <w:tc>
          <w:tcPr>
            <w:tcW w:w="1309" w:type="pct"/>
            <w:tcBorders>
              <w:left w:val="single" w:color="000000" w:sz="4" w:space="0"/>
            </w:tcBorders>
            <w:vAlign w:val="center"/>
          </w:tcPr>
          <w:p>
            <w:pPr>
              <w:adjustRightInd w:val="0"/>
              <w:snapToGrid w:val="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环保投资占比（%）</w:t>
            </w:r>
          </w:p>
        </w:tc>
        <w:tc>
          <w:tcPr>
            <w:tcW w:w="1382" w:type="pct"/>
            <w:tcBorders>
              <w:right w:val="single" w:color="000000" w:sz="4" w:space="0"/>
            </w:tcBorders>
            <w:vAlign w:val="center"/>
          </w:tcPr>
          <w:p>
            <w:pPr>
              <w:adjustRightInd w:val="0"/>
              <w:snapToGrid w:val="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3</w:t>
            </w:r>
          </w:p>
        </w:tc>
        <w:tc>
          <w:tcPr>
            <w:tcW w:w="1242" w:type="pct"/>
            <w:tcBorders>
              <w:left w:val="single" w:color="000000" w:sz="4" w:space="0"/>
              <w:right w:val="single" w:color="000000" w:sz="4" w:space="0"/>
            </w:tcBorders>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施工工期</w:t>
            </w:r>
          </w:p>
        </w:tc>
        <w:tc>
          <w:tcPr>
            <w:tcW w:w="1309" w:type="pct"/>
            <w:tcBorders>
              <w:left w:val="single" w:color="000000" w:sz="4" w:space="0"/>
            </w:tcBorders>
            <w:vAlign w:val="center"/>
          </w:tcPr>
          <w:p>
            <w:pPr>
              <w:adjustRightInd w:val="0"/>
              <w:snapToGrid w:val="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12个月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验收监测依据</w:t>
            </w:r>
          </w:p>
        </w:tc>
        <w:tc>
          <w:tcPr>
            <w:tcW w:w="3933" w:type="pct"/>
            <w:gridSpan w:val="3"/>
            <w:vAlign w:val="top"/>
          </w:tcPr>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1、《中华人民共和国环境保护法》（2015年1月1日施行）；</w:t>
            </w:r>
          </w:p>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2、《中华人民共和国水污染防治法》（2018年1月1日施行）；</w:t>
            </w:r>
          </w:p>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3、《中华人民共和国大气污染防治法》（2016年1月1日施行）；</w:t>
            </w:r>
          </w:p>
          <w:p>
            <w:pPr>
              <w:spacing w:line="360" w:lineRule="auto"/>
              <w:jc w:val="both"/>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4</w:t>
            </w:r>
            <w:r>
              <w:rPr>
                <w:rFonts w:hint="default" w:ascii="Times New Roman" w:hAnsi="Times New Roman" w:eastAsia="宋体" w:cs="Times New Roman"/>
                <w:color w:val="auto"/>
                <w:kern w:val="0"/>
                <w:sz w:val="24"/>
                <w:szCs w:val="24"/>
              </w:rPr>
              <w:t>、《中华人民共和国环境噪声污染防治法》（20</w:t>
            </w:r>
            <w:r>
              <w:rPr>
                <w:rFonts w:hint="default" w:ascii="Times New Roman" w:hAnsi="Times New Roman" w:eastAsia="宋体" w:cs="Times New Roman"/>
                <w:color w:val="auto"/>
                <w:kern w:val="0"/>
                <w:sz w:val="24"/>
                <w:szCs w:val="24"/>
                <w:lang w:val="en-US" w:eastAsia="zh-CN"/>
              </w:rPr>
              <w:t>21年12月24日第十三届全国人民代表大会常务委员会第三十二次会议通过，2022年6月5日实施</w:t>
            </w:r>
            <w:r>
              <w:rPr>
                <w:rFonts w:hint="default" w:ascii="Times New Roman" w:hAnsi="Times New Roman" w:eastAsia="宋体" w:cs="Times New Roman"/>
                <w:color w:val="auto"/>
                <w:kern w:val="0"/>
                <w:sz w:val="24"/>
                <w:szCs w:val="24"/>
              </w:rPr>
              <w:t>）；</w:t>
            </w:r>
          </w:p>
          <w:p>
            <w:pPr>
              <w:spacing w:line="360" w:lineRule="auto"/>
              <w:jc w:val="both"/>
              <w:rPr>
                <w:rFonts w:hint="default" w:ascii="Times New Roman" w:hAnsi="Times New Roman" w:eastAsia="宋体" w:cs="Times New Roman"/>
                <w:color w:val="auto"/>
                <w:kern w:val="0"/>
                <w:sz w:val="24"/>
                <w:szCs w:val="24"/>
              </w:rPr>
            </w:pPr>
            <w:r>
              <w:rPr>
                <w:rFonts w:hint="default" w:ascii="Times New Roman" w:hAnsi="Times New Roman" w:eastAsia="宋体" w:cs="Times New Roman"/>
                <w:color w:val="auto"/>
                <w:kern w:val="0"/>
                <w:sz w:val="24"/>
                <w:szCs w:val="24"/>
                <w:lang w:val="en-US" w:eastAsia="zh-CN"/>
              </w:rPr>
              <w:t>5</w:t>
            </w:r>
            <w:r>
              <w:rPr>
                <w:rFonts w:hint="default" w:ascii="Times New Roman" w:hAnsi="Times New Roman" w:eastAsia="宋体" w:cs="Times New Roman"/>
                <w:color w:val="auto"/>
                <w:kern w:val="0"/>
                <w:sz w:val="24"/>
                <w:szCs w:val="24"/>
              </w:rPr>
              <w:t>、《中华人民共和国固体废物污染环境防治法》（中华人民共和国第十三届全国人民代表大会常务委员会第十七次会议于2020年4月29日修订通过，自</w:t>
            </w:r>
            <w:r>
              <w:rPr>
                <w:rFonts w:hint="default" w:ascii="Times New Roman" w:hAnsi="Times New Roman" w:eastAsia="宋体" w:cs="Times New Roman"/>
                <w:color w:val="auto"/>
                <w:kern w:val="0"/>
                <w:sz w:val="24"/>
                <w:szCs w:val="24"/>
                <w:lang w:val="en-US" w:eastAsia="zh-CN"/>
              </w:rPr>
              <w:t>2020</w:t>
            </w:r>
            <w:r>
              <w:rPr>
                <w:rFonts w:hint="default" w:ascii="Times New Roman" w:hAnsi="Times New Roman" w:eastAsia="宋体" w:cs="Times New Roman"/>
                <w:color w:val="auto"/>
                <w:kern w:val="0"/>
                <w:sz w:val="24"/>
                <w:szCs w:val="24"/>
              </w:rPr>
              <w:t>年9月1日起施行）；</w:t>
            </w:r>
          </w:p>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en-US" w:eastAsia="zh-CN"/>
              </w:rPr>
              <w:t>6</w:t>
            </w:r>
            <w:r>
              <w:rPr>
                <w:rFonts w:hint="default" w:ascii="Times New Roman" w:hAnsi="Times New Roman" w:eastAsia="宋体" w:cs="Times New Roman"/>
                <w:kern w:val="0"/>
                <w:sz w:val="24"/>
                <w:szCs w:val="24"/>
              </w:rPr>
              <w:t>、《国务院关于修改〈建设项目环境保护管理条例〉的决定》（中华人民共和国国务院令第682号，2017年10月1日实施）；</w:t>
            </w:r>
          </w:p>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en-US" w:eastAsia="zh-CN"/>
              </w:rPr>
              <w:t>7</w:t>
            </w:r>
            <w:r>
              <w:rPr>
                <w:rFonts w:hint="default" w:ascii="Times New Roman" w:hAnsi="Times New Roman" w:eastAsia="宋体" w:cs="Times New Roman"/>
                <w:kern w:val="0"/>
                <w:sz w:val="24"/>
                <w:szCs w:val="24"/>
              </w:rPr>
              <w:t>、</w:t>
            </w:r>
            <w:bookmarkStart w:id="1" w:name="_Hlk505671500"/>
            <w:r>
              <w:rPr>
                <w:rFonts w:hint="default" w:ascii="Times New Roman" w:hAnsi="Times New Roman" w:eastAsia="宋体" w:cs="Times New Roman"/>
                <w:kern w:val="0"/>
                <w:sz w:val="24"/>
                <w:szCs w:val="24"/>
              </w:rPr>
              <w:t>《建设项目竣工环境保护验收暂行办法》（国环规环评（2017）4号）</w:t>
            </w:r>
            <w:bookmarkEnd w:id="1"/>
            <w:r>
              <w:rPr>
                <w:rFonts w:hint="default" w:ascii="Times New Roman" w:hAnsi="Times New Roman" w:eastAsia="宋体" w:cs="Times New Roman"/>
                <w:kern w:val="0"/>
                <w:sz w:val="24"/>
                <w:szCs w:val="24"/>
              </w:rPr>
              <w:t>；</w:t>
            </w:r>
          </w:p>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en-US" w:eastAsia="zh-CN"/>
              </w:rPr>
              <w:t>8</w:t>
            </w:r>
            <w:r>
              <w:rPr>
                <w:rFonts w:hint="default" w:ascii="Times New Roman" w:hAnsi="Times New Roman" w:eastAsia="宋体" w:cs="Times New Roman"/>
                <w:kern w:val="0"/>
                <w:sz w:val="24"/>
                <w:szCs w:val="24"/>
              </w:rPr>
              <w:t>、建设项目竣工环境保护验收技术指南——污染影响类；</w:t>
            </w:r>
          </w:p>
          <w:p>
            <w:pPr>
              <w:spacing w:line="360" w:lineRule="auto"/>
              <w:jc w:val="both"/>
              <w:rPr>
                <w:rFonts w:hint="default"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lang w:val="en-US" w:eastAsia="zh-CN"/>
              </w:rPr>
              <w:t>9</w:t>
            </w:r>
            <w:r>
              <w:rPr>
                <w:rFonts w:hint="default" w:ascii="Times New Roman" w:hAnsi="Times New Roman" w:eastAsia="宋体" w:cs="Times New Roman"/>
                <w:kern w:val="0"/>
                <w:sz w:val="24"/>
                <w:szCs w:val="24"/>
              </w:rPr>
              <w:t>、《关于印发建设项目竣工环境保护验收现场检查及审查要点的通知》（环办〔2015〕113号）</w:t>
            </w:r>
            <w:r>
              <w:rPr>
                <w:rFonts w:hint="default" w:ascii="Times New Roman" w:hAnsi="Times New Roman" w:eastAsia="宋体" w:cs="Times New Roman"/>
                <w:kern w:val="0"/>
                <w:sz w:val="24"/>
                <w:szCs w:val="24"/>
                <w:lang w:eastAsia="zh-CN"/>
              </w:rPr>
              <w:t>；</w:t>
            </w:r>
          </w:p>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en-US" w:eastAsia="zh-CN"/>
              </w:rPr>
              <w:t>10</w:t>
            </w:r>
            <w:r>
              <w:rPr>
                <w:rFonts w:hint="default" w:ascii="Times New Roman" w:hAnsi="Times New Roman" w:eastAsia="宋体" w:cs="Times New Roman"/>
                <w:kern w:val="0"/>
                <w:sz w:val="24"/>
                <w:szCs w:val="24"/>
              </w:rPr>
              <w:t>、《建设项目环境保护设施竣工验收监测技术要求（试行）》（国家环保总局）；</w:t>
            </w:r>
          </w:p>
          <w:p>
            <w:pPr>
              <w:spacing w:line="360" w:lineRule="auto"/>
              <w:jc w:val="both"/>
              <w:rPr>
                <w:rFonts w:hint="default"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1</w:t>
            </w:r>
            <w:r>
              <w:rPr>
                <w:rFonts w:hint="default" w:ascii="Times New Roman" w:hAnsi="Times New Roman" w:eastAsia="宋体" w:cs="Times New Roman"/>
                <w:kern w:val="0"/>
                <w:sz w:val="24"/>
                <w:szCs w:val="24"/>
                <w:lang w:val="en-US" w:eastAsia="zh-CN"/>
              </w:rPr>
              <w:t>1</w:t>
            </w:r>
            <w:r>
              <w:rPr>
                <w:rFonts w:hint="default" w:ascii="Times New Roman" w:hAnsi="Times New Roman" w:eastAsia="宋体" w:cs="Times New Roman"/>
                <w:kern w:val="0"/>
                <w:sz w:val="24"/>
                <w:szCs w:val="24"/>
              </w:rPr>
              <w:t>、《环境监测质量管理规定》（国家环保总局[2006]114号文）</w:t>
            </w:r>
            <w:r>
              <w:rPr>
                <w:rFonts w:hint="default" w:ascii="Times New Roman" w:hAnsi="Times New Roman" w:eastAsia="宋体" w:cs="Times New Roman"/>
                <w:kern w:val="0"/>
                <w:sz w:val="24"/>
                <w:szCs w:val="24"/>
                <w:lang w:eastAsia="zh-CN"/>
              </w:rPr>
              <w:t>；</w:t>
            </w:r>
          </w:p>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r>
              <w:rPr>
                <w:rFonts w:hint="default" w:ascii="Times New Roman" w:hAnsi="Times New Roman" w:eastAsia="宋体" w:cs="Times New Roman"/>
                <w:kern w:val="0"/>
                <w:sz w:val="24"/>
                <w:szCs w:val="24"/>
                <w:lang w:val="en-US" w:eastAsia="zh-CN"/>
              </w:rPr>
              <w:t>2</w:t>
            </w:r>
            <w:r>
              <w:rPr>
                <w:rFonts w:hint="default" w:ascii="Times New Roman" w:hAnsi="Times New Roman" w:eastAsia="宋体" w:cs="Times New Roman"/>
                <w:kern w:val="0"/>
                <w:sz w:val="24"/>
                <w:szCs w:val="24"/>
              </w:rPr>
              <w:t>、《关于建设项目竣工环境保护验收有关事项的通知》（苏环办[2018]34号）；</w:t>
            </w:r>
          </w:p>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r>
              <w:rPr>
                <w:rFonts w:hint="default" w:ascii="Times New Roman" w:hAnsi="Times New Roman" w:eastAsia="宋体" w:cs="Times New Roman"/>
                <w:kern w:val="0"/>
                <w:sz w:val="24"/>
                <w:szCs w:val="24"/>
                <w:lang w:val="en-US" w:eastAsia="zh-CN"/>
              </w:rPr>
              <w:t>3</w:t>
            </w:r>
            <w:r>
              <w:rPr>
                <w:rFonts w:hint="default" w:ascii="Times New Roman" w:hAnsi="Times New Roman" w:eastAsia="宋体" w:cs="Times New Roman"/>
                <w:kern w:val="0"/>
                <w:sz w:val="24"/>
                <w:szCs w:val="24"/>
              </w:rPr>
              <w:t>、《关于</w:t>
            </w:r>
            <w:r>
              <w:rPr>
                <w:rFonts w:hint="default" w:ascii="Times New Roman" w:hAnsi="Times New Roman" w:eastAsia="宋体" w:cs="Times New Roman"/>
                <w:kern w:val="0"/>
                <w:sz w:val="24"/>
                <w:szCs w:val="24"/>
                <w:lang w:eastAsia="zh-CN"/>
              </w:rPr>
              <w:t>印发</w:t>
            </w:r>
            <w:r>
              <w:rPr>
                <w:rFonts w:hint="default" w:ascii="Times New Roman" w:hAnsi="Times New Roman" w:eastAsia="宋体" w:cs="Times New Roman"/>
                <w:kern w:val="0"/>
                <w:sz w:val="24"/>
                <w:szCs w:val="24"/>
                <w:lang w:val="en-US" w:eastAsia="zh-CN"/>
              </w:rPr>
              <w:t>&lt;</w:t>
            </w:r>
            <w:r>
              <w:rPr>
                <w:rFonts w:hint="default" w:ascii="Times New Roman" w:hAnsi="Times New Roman" w:eastAsia="宋体" w:cs="Times New Roman"/>
                <w:kern w:val="0"/>
                <w:sz w:val="24"/>
                <w:szCs w:val="24"/>
                <w:lang w:eastAsia="zh-CN"/>
              </w:rPr>
              <w:t>污染影响类建设项目重大变动清单（试行）</w:t>
            </w:r>
            <w:r>
              <w:rPr>
                <w:rFonts w:hint="default" w:ascii="Times New Roman" w:hAnsi="Times New Roman" w:eastAsia="宋体" w:cs="Times New Roman"/>
                <w:kern w:val="0"/>
                <w:sz w:val="24"/>
                <w:szCs w:val="24"/>
                <w:lang w:val="en-US" w:eastAsia="zh-CN"/>
              </w:rPr>
              <w:t>&gt;</w:t>
            </w:r>
            <w:r>
              <w:rPr>
                <w:rFonts w:hint="default" w:ascii="Times New Roman" w:hAnsi="Times New Roman" w:eastAsia="宋体" w:cs="Times New Roman"/>
                <w:kern w:val="0"/>
                <w:sz w:val="24"/>
                <w:szCs w:val="24"/>
                <w:lang w:eastAsia="zh-CN"/>
              </w:rPr>
              <w:t>的通知》（环办环评函</w:t>
            </w:r>
            <w:r>
              <w:rPr>
                <w:rFonts w:hint="default" w:ascii="Times New Roman" w:hAnsi="Times New Roman" w:eastAsia="宋体" w:cs="Times New Roman"/>
                <w:kern w:val="0"/>
                <w:sz w:val="24"/>
                <w:szCs w:val="24"/>
                <w:lang w:val="en-US" w:eastAsia="zh-CN"/>
              </w:rPr>
              <w:t>[2020]688号</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w:t>
            </w:r>
          </w:p>
          <w:p>
            <w:pPr>
              <w:spacing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r>
              <w:rPr>
                <w:rFonts w:hint="default" w:ascii="Times New Roman" w:hAnsi="Times New Roman" w:eastAsia="宋体" w:cs="Times New Roman"/>
                <w:kern w:val="0"/>
                <w:sz w:val="24"/>
                <w:szCs w:val="24"/>
                <w:lang w:val="en-US" w:eastAsia="zh-CN"/>
              </w:rPr>
              <w:t>4</w:t>
            </w:r>
            <w:r>
              <w:rPr>
                <w:rFonts w:hint="default" w:ascii="Times New Roman" w:hAnsi="Times New Roman" w:eastAsia="宋体" w:cs="Times New Roman"/>
                <w:kern w:val="0"/>
                <w:sz w:val="24"/>
                <w:szCs w:val="24"/>
              </w:rPr>
              <w:t>、《关于加强建设项目竣工环境保护验收监测工作的通知》（江苏省环境保护厅，苏环监[2006]2号）；</w:t>
            </w:r>
          </w:p>
          <w:p>
            <w:pPr>
              <w:spacing w:line="360" w:lineRule="auto"/>
              <w:jc w:val="both"/>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kern w:val="0"/>
                <w:sz w:val="24"/>
                <w:szCs w:val="24"/>
              </w:rPr>
              <w:t>1</w:t>
            </w:r>
            <w:r>
              <w:rPr>
                <w:rFonts w:hint="default" w:ascii="Times New Roman" w:hAnsi="Times New Roman" w:eastAsia="宋体" w:cs="Times New Roman"/>
                <w:kern w:val="0"/>
                <w:sz w:val="24"/>
                <w:szCs w:val="24"/>
                <w:lang w:val="en-US" w:eastAsia="zh-CN"/>
              </w:rPr>
              <w:t>5</w:t>
            </w:r>
            <w:r>
              <w:rPr>
                <w:rFonts w:hint="default" w:ascii="Times New Roman" w:hAnsi="Times New Roman" w:eastAsia="宋体" w:cs="Times New Roman"/>
                <w:kern w:val="0"/>
                <w:sz w:val="24"/>
                <w:szCs w:val="24"/>
              </w:rPr>
              <w:t>、《江苏省排污口设置及规范化整治管理办法》（江苏省环境保护局，苏环控（1997）122号，1997年9月）；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pct"/>
            <w:vAlign w:val="center"/>
          </w:tcPr>
          <w:p>
            <w:pPr>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000000"/>
                <w:sz w:val="24"/>
                <w:szCs w:val="24"/>
              </w:rPr>
              <w:t>验收监测评价标准、标号、级别、限值</w:t>
            </w:r>
          </w:p>
        </w:tc>
        <w:tc>
          <w:tcPr>
            <w:tcW w:w="3933" w:type="pct"/>
            <w:gridSpan w:val="3"/>
            <w:vAlign w:val="top"/>
          </w:tcPr>
          <w:p>
            <w:pPr>
              <w:numPr>
                <w:ilvl w:val="0"/>
                <w:numId w:val="0"/>
              </w:numPr>
              <w:spacing w:line="360" w:lineRule="auto"/>
              <w:jc w:val="both"/>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kern w:val="2"/>
                <w:sz w:val="24"/>
                <w:szCs w:val="24"/>
                <w:vertAlign w:val="baseline"/>
                <w:lang w:val="en-US" w:eastAsia="zh-CN" w:bidi="ar-SA"/>
              </w:rPr>
              <w:t>1、</w:t>
            </w:r>
            <w:r>
              <w:rPr>
                <w:rFonts w:hint="default" w:ascii="Times New Roman" w:hAnsi="Times New Roman" w:eastAsia="宋体" w:cs="Times New Roman"/>
                <w:b w:val="0"/>
                <w:bCs w:val="0"/>
                <w:sz w:val="24"/>
                <w:szCs w:val="24"/>
                <w:vertAlign w:val="baseline"/>
                <w:lang w:val="en-US" w:eastAsia="zh-CN"/>
              </w:rPr>
              <w:t>废水排放标准</w:t>
            </w:r>
          </w:p>
          <w:p>
            <w:pPr>
              <w:adjustRightInd w:val="0"/>
              <w:snapToGrid w:val="0"/>
              <w:spacing w:line="360" w:lineRule="auto"/>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建设项目经化粪池预处理的生活污水、纯水制备浓水以及经污水处理站处理后不含重金属的后道清洗废水一同接管南通市东港排水有限公司集中处理，</w:t>
            </w:r>
            <w:bookmarkStart w:id="2" w:name="OLE_LINK6"/>
            <w:r>
              <w:rPr>
                <w:rFonts w:hint="default" w:ascii="Times New Roman" w:hAnsi="Times New Roman" w:eastAsia="宋体" w:cs="Times New Roman"/>
                <w:sz w:val="24"/>
                <w:szCs w:val="24"/>
              </w:rPr>
              <w:t>污水处理厂接管标准执行《污水综合排放标准》（GB8978-1996）表4三级标准和《污水排入城镇下水道水质标准》（GB/T31962-2015）表1中B等级标准。</w:t>
            </w:r>
            <w:bookmarkEnd w:id="2"/>
            <w:r>
              <w:rPr>
                <w:rFonts w:hint="default" w:ascii="Times New Roman" w:hAnsi="Times New Roman" w:eastAsia="宋体" w:cs="Times New Roman"/>
                <w:sz w:val="24"/>
                <w:szCs w:val="24"/>
              </w:rPr>
              <w:t>接管污染物浓度限值详见表</w:t>
            </w:r>
            <w:r>
              <w:rPr>
                <w:rFonts w:hint="default" w:ascii="Times New Roman" w:hAnsi="Times New Roman" w:eastAsia="宋体" w:cs="Times New Roman"/>
                <w:sz w:val="24"/>
                <w:szCs w:val="24"/>
                <w:lang w:val="en-US" w:eastAsia="zh-CN"/>
              </w:rPr>
              <w:t>1-1</w:t>
            </w:r>
            <w:r>
              <w:rPr>
                <w:rFonts w:hint="default" w:ascii="Times New Roman" w:hAnsi="Times New Roman" w:eastAsia="宋体" w:cs="Times New Roman"/>
                <w:sz w:val="24"/>
                <w:szCs w:val="24"/>
              </w:rPr>
              <w:t>。</w:t>
            </w:r>
          </w:p>
          <w:p>
            <w:pPr>
              <w:pStyle w:val="2"/>
              <w:numPr>
                <w:ilvl w:val="0"/>
                <w:numId w:val="0"/>
              </w:num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表1-1  废水接管标准</w:t>
            </w:r>
          </w:p>
          <w:tbl>
            <w:tblPr>
              <w:tblStyle w:val="20"/>
              <w:tblW w:w="499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763"/>
              <w:gridCol w:w="2558"/>
              <w:gridCol w:w="216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项目</w:t>
                  </w:r>
                </w:p>
              </w:tc>
              <w:tc>
                <w:tcPr>
                  <w:tcW w:w="1972" w:type="pct"/>
                  <w:vAlign w:val="center"/>
                </w:tcPr>
                <w:p>
                  <w:pPr>
                    <w:adjustRightInd w:val="0"/>
                    <w:snapToGrid w:val="0"/>
                    <w:jc w:val="center"/>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rPr>
                    <w:t>接管标准浓度限值</w:t>
                  </w:r>
                  <w:r>
                    <w:rPr>
                      <w:rFonts w:hint="default" w:ascii="Times New Roman" w:hAnsi="Times New Roman" w:eastAsia="宋体" w:cs="Times New Roman"/>
                      <w:b/>
                      <w:bCs/>
                      <w:sz w:val="21"/>
                      <w:szCs w:val="21"/>
                      <w:lang w:eastAsia="zh-CN"/>
                    </w:rPr>
                    <w:t>（</w:t>
                  </w:r>
                  <w:r>
                    <w:rPr>
                      <w:rFonts w:hint="default" w:ascii="Times New Roman" w:hAnsi="Times New Roman" w:eastAsia="宋体" w:cs="Times New Roman"/>
                      <w:b/>
                      <w:bCs/>
                      <w:sz w:val="21"/>
                      <w:szCs w:val="21"/>
                      <w:lang w:val="en-US" w:eastAsia="zh-CN"/>
                    </w:rPr>
                    <w:t>单位：mg/L</w:t>
                  </w:r>
                  <w:r>
                    <w:rPr>
                      <w:rFonts w:hint="default" w:ascii="Times New Roman" w:hAnsi="Times New Roman" w:eastAsia="宋体" w:cs="Times New Roman"/>
                      <w:b/>
                      <w:bCs/>
                      <w:sz w:val="21"/>
                      <w:szCs w:val="21"/>
                      <w:lang w:eastAsia="zh-CN"/>
                    </w:rPr>
                    <w:t>）</w:t>
                  </w:r>
                </w:p>
              </w:tc>
              <w:tc>
                <w:tcPr>
                  <w:tcW w:w="1668" w:type="pct"/>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pH</w:t>
                  </w:r>
                </w:p>
              </w:tc>
              <w:tc>
                <w:tcPr>
                  <w:tcW w:w="1972"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6-9</w:t>
                  </w:r>
                </w:p>
              </w:tc>
              <w:tc>
                <w:tcPr>
                  <w:tcW w:w="1668" w:type="pct"/>
                  <w:vMerge w:val="restart"/>
                  <w:vAlign w:val="center"/>
                </w:tcPr>
                <w:p>
                  <w:pPr>
                    <w:pStyle w:val="18"/>
                    <w:ind w:firstLine="180"/>
                    <w:jc w:val="center"/>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《污水综合排放标准》（GB8978-1996）表4中三级标准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COD</w:t>
                  </w:r>
                </w:p>
              </w:tc>
              <w:tc>
                <w:tcPr>
                  <w:tcW w:w="1972" w:type="pct"/>
                  <w:vAlign w:val="center"/>
                </w:tcPr>
                <w:p>
                  <w:pPr>
                    <w:pStyle w:val="18"/>
                    <w:spacing w:after="0"/>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w:t>
                  </w:r>
                </w:p>
              </w:tc>
              <w:tc>
                <w:tcPr>
                  <w:tcW w:w="1668" w:type="pct"/>
                  <w:vMerge w:val="continue"/>
                  <w:vAlign w:val="center"/>
                </w:tcPr>
                <w:p>
                  <w:pPr>
                    <w:pStyle w:val="18"/>
                    <w:spacing w:after="0"/>
                    <w:ind w:firstLine="0" w:firstLineChars="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SS</w:t>
                  </w:r>
                </w:p>
              </w:tc>
              <w:tc>
                <w:tcPr>
                  <w:tcW w:w="1972" w:type="pct"/>
                  <w:vAlign w:val="center"/>
                </w:tcPr>
                <w:p>
                  <w:pPr>
                    <w:pStyle w:val="24"/>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400</w:t>
                  </w:r>
                </w:p>
              </w:tc>
              <w:tc>
                <w:tcPr>
                  <w:tcW w:w="1668" w:type="pct"/>
                  <w:vMerge w:val="continue"/>
                  <w:vAlign w:val="center"/>
                </w:tcPr>
                <w:p>
                  <w:pPr>
                    <w:pStyle w:val="24"/>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甲醛</w:t>
                  </w:r>
                </w:p>
              </w:tc>
              <w:tc>
                <w:tcPr>
                  <w:tcW w:w="1972" w:type="pct"/>
                  <w:vAlign w:val="center"/>
                </w:tcPr>
                <w:p>
                  <w:pPr>
                    <w:pStyle w:val="24"/>
                    <w:jc w:val="center"/>
                    <w:rPr>
                      <w:rFonts w:hint="default" w:ascii="Times New Roman" w:hAnsi="Times New Roman" w:eastAsia="宋体" w:cs="Times New Roman"/>
                      <w:kern w:val="2"/>
                      <w:sz w:val="21"/>
                      <w:szCs w:val="21"/>
                    </w:rPr>
                  </w:pPr>
                  <w:r>
                    <w:rPr>
                      <w:rFonts w:hint="default" w:ascii="Times New Roman" w:hAnsi="Times New Roman" w:eastAsia="宋体" w:cs="Times New Roman"/>
                      <w:color w:val="000000"/>
                      <w:kern w:val="2"/>
                      <w:sz w:val="21"/>
                      <w:szCs w:val="21"/>
                    </w:rPr>
                    <w:t>5</w:t>
                  </w:r>
                </w:p>
              </w:tc>
              <w:tc>
                <w:tcPr>
                  <w:tcW w:w="1668" w:type="pct"/>
                  <w:vMerge w:val="continue"/>
                  <w:vAlign w:val="center"/>
                </w:tcPr>
                <w:p>
                  <w:pPr>
                    <w:pStyle w:val="24"/>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三氯甲烷</w:t>
                  </w:r>
                </w:p>
              </w:tc>
              <w:tc>
                <w:tcPr>
                  <w:tcW w:w="1972" w:type="pct"/>
                  <w:vAlign w:val="center"/>
                </w:tcPr>
                <w:p>
                  <w:pPr>
                    <w:pStyle w:val="24"/>
                    <w:jc w:val="center"/>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kern w:val="2"/>
                      <w:sz w:val="21"/>
                      <w:szCs w:val="21"/>
                    </w:rPr>
                    <w:t>1.0</w:t>
                  </w:r>
                </w:p>
              </w:tc>
              <w:tc>
                <w:tcPr>
                  <w:tcW w:w="1668" w:type="pct"/>
                  <w:vMerge w:val="continue"/>
                  <w:vAlign w:val="center"/>
                </w:tcPr>
                <w:p>
                  <w:pPr>
                    <w:pStyle w:val="24"/>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总氰化物</w:t>
                  </w:r>
                </w:p>
              </w:tc>
              <w:tc>
                <w:tcPr>
                  <w:tcW w:w="1972" w:type="pct"/>
                  <w:vAlign w:val="center"/>
                </w:tcPr>
                <w:p>
                  <w:pPr>
                    <w:pStyle w:val="24"/>
                    <w:jc w:val="center"/>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kern w:val="2"/>
                      <w:sz w:val="21"/>
                      <w:szCs w:val="21"/>
                    </w:rPr>
                    <w:t>1.0</w:t>
                  </w:r>
                </w:p>
              </w:tc>
              <w:tc>
                <w:tcPr>
                  <w:tcW w:w="1668" w:type="pct"/>
                  <w:vMerge w:val="continue"/>
                  <w:vAlign w:val="center"/>
                </w:tcPr>
                <w:p>
                  <w:pPr>
                    <w:pStyle w:val="24"/>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挥发酚</w:t>
                  </w:r>
                </w:p>
              </w:tc>
              <w:tc>
                <w:tcPr>
                  <w:tcW w:w="1972" w:type="pct"/>
                  <w:vAlign w:val="center"/>
                </w:tcPr>
                <w:p>
                  <w:pPr>
                    <w:pStyle w:val="24"/>
                    <w:jc w:val="center"/>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kern w:val="2"/>
                      <w:sz w:val="21"/>
                      <w:szCs w:val="21"/>
                    </w:rPr>
                    <w:t>2.0</w:t>
                  </w:r>
                </w:p>
              </w:tc>
              <w:tc>
                <w:tcPr>
                  <w:tcW w:w="1668" w:type="pct"/>
                  <w:vMerge w:val="continue"/>
                  <w:vAlign w:val="center"/>
                </w:tcPr>
                <w:p>
                  <w:pPr>
                    <w:pStyle w:val="24"/>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四氯乙烯</w:t>
                  </w:r>
                </w:p>
              </w:tc>
              <w:tc>
                <w:tcPr>
                  <w:tcW w:w="1972" w:type="pct"/>
                  <w:vAlign w:val="center"/>
                </w:tcPr>
                <w:p>
                  <w:pPr>
                    <w:pStyle w:val="24"/>
                    <w:jc w:val="center"/>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kern w:val="2"/>
                      <w:sz w:val="21"/>
                      <w:szCs w:val="21"/>
                    </w:rPr>
                    <w:t>0.5</w:t>
                  </w:r>
                </w:p>
              </w:tc>
              <w:tc>
                <w:tcPr>
                  <w:tcW w:w="1668" w:type="pct"/>
                  <w:vMerge w:val="continue"/>
                  <w:vAlign w:val="center"/>
                </w:tcPr>
                <w:p>
                  <w:pPr>
                    <w:pStyle w:val="24"/>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氨氮</w:t>
                  </w:r>
                </w:p>
              </w:tc>
              <w:tc>
                <w:tcPr>
                  <w:tcW w:w="1972" w:type="pct"/>
                  <w:vAlign w:val="center"/>
                </w:tcPr>
                <w:p>
                  <w:pPr>
                    <w:pStyle w:val="24"/>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45</w:t>
                  </w:r>
                </w:p>
              </w:tc>
              <w:tc>
                <w:tcPr>
                  <w:tcW w:w="1668" w:type="pct"/>
                  <w:vMerge w:val="restart"/>
                  <w:vAlign w:val="center"/>
                </w:tcPr>
                <w:p>
                  <w:pPr>
                    <w:pStyle w:val="24"/>
                    <w:jc w:val="center"/>
                    <w:rPr>
                      <w:rFonts w:hint="default" w:ascii="Times New Roman" w:hAnsi="Times New Roman" w:eastAsia="宋体" w:cs="Times New Roman"/>
                      <w:kern w:val="2"/>
                      <w:sz w:val="21"/>
                      <w:szCs w:val="21"/>
                    </w:rPr>
                  </w:pPr>
                  <w:r>
                    <w:rPr>
                      <w:rFonts w:hint="default" w:ascii="Times New Roman" w:hAnsi="Times New Roman" w:eastAsia="宋体" w:cs="Times New Roman"/>
                      <w:sz w:val="21"/>
                      <w:szCs w:val="21"/>
                    </w:rPr>
                    <w:t>《污水排入城镇下水道水质标准》（GB/T31962-2015）表1中B等级标准）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总氮</w:t>
                  </w:r>
                </w:p>
              </w:tc>
              <w:tc>
                <w:tcPr>
                  <w:tcW w:w="1972" w:type="pct"/>
                  <w:vAlign w:val="center"/>
                </w:tcPr>
                <w:p>
                  <w:pPr>
                    <w:pStyle w:val="24"/>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70</w:t>
                  </w:r>
                </w:p>
              </w:tc>
              <w:tc>
                <w:tcPr>
                  <w:tcW w:w="1668" w:type="pct"/>
                  <w:vMerge w:val="continue"/>
                  <w:vAlign w:val="center"/>
                </w:tcPr>
                <w:p>
                  <w:pPr>
                    <w:pStyle w:val="24"/>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总磷（以P计）</w:t>
                  </w:r>
                </w:p>
              </w:tc>
              <w:tc>
                <w:tcPr>
                  <w:tcW w:w="1972" w:type="pct"/>
                  <w:vAlign w:val="center"/>
                </w:tcPr>
                <w:p>
                  <w:pPr>
                    <w:pStyle w:val="24"/>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8</w:t>
                  </w:r>
                </w:p>
              </w:tc>
              <w:tc>
                <w:tcPr>
                  <w:tcW w:w="1668" w:type="pct"/>
                  <w:vMerge w:val="continue"/>
                  <w:vAlign w:val="center"/>
                </w:tcPr>
                <w:p>
                  <w:pPr>
                    <w:pStyle w:val="24"/>
                    <w:jc w:val="center"/>
                    <w:rPr>
                      <w:rFonts w:hint="default" w:ascii="Times New Roman" w:hAnsi="Times New Roman" w:eastAsia="宋体" w:cs="Times New Roman"/>
                      <w:kern w:val="2"/>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5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石油类</w:t>
                  </w:r>
                </w:p>
              </w:tc>
              <w:tc>
                <w:tcPr>
                  <w:tcW w:w="1972" w:type="pct"/>
                  <w:vAlign w:val="center"/>
                </w:tcPr>
                <w:p>
                  <w:pPr>
                    <w:pStyle w:val="24"/>
                    <w:jc w:val="center"/>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kern w:val="2"/>
                      <w:sz w:val="21"/>
                      <w:szCs w:val="21"/>
                    </w:rPr>
                    <w:t>15</w:t>
                  </w:r>
                </w:p>
              </w:tc>
              <w:tc>
                <w:tcPr>
                  <w:tcW w:w="1668" w:type="pct"/>
                  <w:vMerge w:val="continue"/>
                  <w:vAlign w:val="center"/>
                </w:tcPr>
                <w:p>
                  <w:pPr>
                    <w:pStyle w:val="24"/>
                    <w:jc w:val="center"/>
                    <w:rPr>
                      <w:rFonts w:hint="default" w:ascii="Times New Roman" w:hAnsi="Times New Roman" w:eastAsia="宋体" w:cs="Times New Roman"/>
                      <w:kern w:val="2"/>
                      <w:sz w:val="21"/>
                      <w:szCs w:val="21"/>
                    </w:rPr>
                  </w:pPr>
                </w:p>
              </w:tc>
            </w:tr>
          </w:tbl>
          <w:p>
            <w:pPr>
              <w:tabs>
                <w:tab w:val="left" w:pos="5142"/>
              </w:tabs>
              <w:adjustRightInd w:val="0"/>
              <w:snapToGrid w:val="0"/>
              <w:spacing w:line="360" w:lineRule="auto"/>
              <w:ind w:firstLine="480" w:firstLineChars="200"/>
              <w:jc w:val="both"/>
              <w:rPr>
                <w:rFonts w:hint="default" w:ascii="Times New Roman" w:hAnsi="Times New Roman" w:eastAsia="宋体" w:cs="Times New Roman"/>
                <w:bCs/>
                <w:snapToGrid w:val="0"/>
                <w:kern w:val="0"/>
                <w:sz w:val="24"/>
                <w:szCs w:val="24"/>
              </w:rPr>
            </w:pPr>
            <w:r>
              <w:rPr>
                <w:rFonts w:hint="default" w:ascii="Times New Roman" w:hAnsi="Times New Roman" w:eastAsia="宋体" w:cs="Times New Roman"/>
                <w:bCs/>
                <w:snapToGrid w:val="0"/>
                <w:kern w:val="0"/>
                <w:sz w:val="24"/>
                <w:szCs w:val="24"/>
              </w:rPr>
              <w:t>南通市东港排水有限公司于202</w:t>
            </w:r>
            <w:r>
              <w:rPr>
                <w:rFonts w:hint="default" w:ascii="Times New Roman" w:hAnsi="Times New Roman" w:eastAsia="宋体" w:cs="Times New Roman"/>
                <w:bCs/>
                <w:snapToGrid w:val="0"/>
                <w:kern w:val="0"/>
                <w:sz w:val="24"/>
                <w:szCs w:val="24"/>
                <w:lang w:val="en-US" w:eastAsia="zh-CN"/>
              </w:rPr>
              <w:t>3</w:t>
            </w:r>
            <w:r>
              <w:rPr>
                <w:rFonts w:hint="default" w:ascii="Times New Roman" w:hAnsi="Times New Roman" w:eastAsia="宋体" w:cs="Times New Roman"/>
                <w:bCs/>
                <w:snapToGrid w:val="0"/>
                <w:kern w:val="0"/>
                <w:sz w:val="24"/>
                <w:szCs w:val="24"/>
              </w:rPr>
              <w:t>年3月28日以后执行</w:t>
            </w:r>
            <w:r>
              <w:rPr>
                <w:rFonts w:hint="default" w:ascii="Times New Roman" w:hAnsi="Times New Roman" w:eastAsia="宋体" w:cs="Times New Roman"/>
                <w:bCs/>
                <w:sz w:val="24"/>
                <w:szCs w:val="24"/>
              </w:rPr>
              <w:t>《城镇污水处理厂污染物排放标准》（</w:t>
            </w:r>
            <w:r>
              <w:rPr>
                <w:rFonts w:hint="default" w:ascii="Times New Roman" w:hAnsi="Times New Roman" w:eastAsia="宋体" w:cs="Times New Roman"/>
                <w:bCs/>
                <w:sz w:val="24"/>
                <w:szCs w:val="24"/>
                <w:lang w:val="en-US" w:eastAsia="zh-CN"/>
              </w:rPr>
              <w:t>DB32/4440-2022</w:t>
            </w:r>
            <w:r>
              <w:rPr>
                <w:rFonts w:hint="default" w:ascii="Times New Roman" w:hAnsi="Times New Roman" w:eastAsia="宋体" w:cs="Times New Roman"/>
                <w:bCs/>
                <w:sz w:val="24"/>
                <w:szCs w:val="24"/>
              </w:rPr>
              <w:t>）表1中B标准及表4中日均排放限值，具体见表</w:t>
            </w:r>
            <w:r>
              <w:rPr>
                <w:rFonts w:hint="default" w:ascii="Times New Roman" w:hAnsi="Times New Roman" w:eastAsia="宋体" w:cs="Times New Roman"/>
                <w:bCs/>
                <w:sz w:val="24"/>
                <w:szCs w:val="24"/>
                <w:lang w:val="en-US" w:eastAsia="zh-CN"/>
              </w:rPr>
              <w:t>1</w:t>
            </w:r>
            <w:r>
              <w:rPr>
                <w:rFonts w:hint="default" w:ascii="Times New Roman" w:hAnsi="Times New Roman" w:eastAsia="宋体" w:cs="Times New Roman"/>
                <w:bCs/>
                <w:sz w:val="24"/>
                <w:szCs w:val="24"/>
              </w:rPr>
              <w:t>-</w:t>
            </w:r>
            <w:r>
              <w:rPr>
                <w:rFonts w:hint="eastAsia" w:ascii="Times New Roman" w:hAnsi="Times New Roman" w:eastAsia="宋体" w:cs="Times New Roman"/>
                <w:bCs/>
                <w:sz w:val="24"/>
                <w:szCs w:val="24"/>
                <w:lang w:val="en-US" w:eastAsia="zh-CN"/>
              </w:rPr>
              <w:t>2</w:t>
            </w:r>
            <w:r>
              <w:rPr>
                <w:rFonts w:hint="default" w:ascii="Times New Roman" w:hAnsi="Times New Roman" w:eastAsia="宋体" w:cs="Times New Roman"/>
                <w:bCs/>
                <w:sz w:val="24"/>
                <w:szCs w:val="24"/>
              </w:rPr>
              <w:t>。</w:t>
            </w:r>
          </w:p>
          <w:p>
            <w:pPr>
              <w:pStyle w:val="2"/>
              <w:numPr>
                <w:ilvl w:val="0"/>
                <w:numId w:val="0"/>
              </w:num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表1-</w:t>
            </w:r>
            <w:r>
              <w:rPr>
                <w:rFonts w:hint="eastAsia" w:ascii="Times New Roman" w:hAnsi="Times New Roman" w:cs="Times New Roman"/>
                <w:b/>
                <w:bCs/>
                <w:sz w:val="21"/>
                <w:szCs w:val="21"/>
                <w:lang w:val="en-US" w:eastAsia="zh-CN"/>
              </w:rPr>
              <w:t>2</w:t>
            </w:r>
            <w:r>
              <w:rPr>
                <w:rFonts w:hint="default" w:ascii="Times New Roman" w:hAnsi="Times New Roman" w:eastAsia="宋体" w:cs="Times New Roman"/>
                <w:b/>
                <w:bCs/>
                <w:sz w:val="21"/>
                <w:szCs w:val="21"/>
                <w:lang w:val="en-US" w:eastAsia="zh-CN"/>
              </w:rPr>
              <w:t xml:space="preserve">  污水处理厂尾水排放标准</w:t>
            </w:r>
          </w:p>
          <w:tbl>
            <w:tblPr>
              <w:tblStyle w:val="20"/>
              <w:tblW w:w="4999"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888"/>
              <w:gridCol w:w="2854"/>
              <w:gridCol w:w="274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序号</w:t>
                  </w:r>
                </w:p>
              </w:tc>
              <w:tc>
                <w:tcPr>
                  <w:tcW w:w="2199" w:type="pct"/>
                  <w:vAlign w:val="center"/>
                </w:tcPr>
                <w:p>
                  <w:pPr>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污染物名称</w:t>
                  </w:r>
                </w:p>
              </w:tc>
              <w:tc>
                <w:tcPr>
                  <w:tcW w:w="2116" w:type="pct"/>
                  <w:vAlign w:val="center"/>
                </w:tcPr>
                <w:p>
                  <w:pPr>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最高允许排放浓度</w:t>
                  </w:r>
                  <w:r>
                    <w:rPr>
                      <w:rFonts w:hint="default" w:ascii="Times New Roman" w:hAnsi="Times New Roman" w:eastAsia="宋体" w:cs="Times New Roman"/>
                      <w:b/>
                      <w:sz w:val="21"/>
                      <w:szCs w:val="21"/>
                      <w:lang w:val="en-US" w:eastAsia="zh-CN"/>
                    </w:rPr>
                    <w:t>(单位:mg/L)</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219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pH</w:t>
                  </w:r>
                </w:p>
              </w:tc>
              <w:tc>
                <w:tcPr>
                  <w:tcW w:w="2116"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219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COD</w:t>
                  </w:r>
                </w:p>
              </w:tc>
              <w:tc>
                <w:tcPr>
                  <w:tcW w:w="2116"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219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SS</w:t>
                  </w:r>
                </w:p>
              </w:tc>
              <w:tc>
                <w:tcPr>
                  <w:tcW w:w="2116"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219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氨氮</w:t>
                  </w:r>
                </w:p>
              </w:tc>
              <w:tc>
                <w:tcPr>
                  <w:tcW w:w="2116"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219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总磷（以P计）</w:t>
                  </w:r>
                </w:p>
              </w:tc>
              <w:tc>
                <w:tcPr>
                  <w:tcW w:w="2116"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219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总氮</w:t>
                  </w:r>
                </w:p>
              </w:tc>
              <w:tc>
                <w:tcPr>
                  <w:tcW w:w="2116"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10（12）*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c>
                <w:tcPr>
                  <w:tcW w:w="2199"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石油类</w:t>
                  </w:r>
                </w:p>
              </w:tc>
              <w:tc>
                <w:tcPr>
                  <w:tcW w:w="2116"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p>
              </w:tc>
              <w:tc>
                <w:tcPr>
                  <w:tcW w:w="219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甲醛</w:t>
                  </w:r>
                </w:p>
              </w:tc>
              <w:tc>
                <w:tcPr>
                  <w:tcW w:w="2116"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w:t>
                  </w:r>
                </w:p>
              </w:tc>
              <w:tc>
                <w:tcPr>
                  <w:tcW w:w="219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挥发酚</w:t>
                  </w:r>
                </w:p>
              </w:tc>
              <w:tc>
                <w:tcPr>
                  <w:tcW w:w="2116"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0.1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w:t>
                  </w:r>
                </w:p>
              </w:tc>
              <w:tc>
                <w:tcPr>
                  <w:tcW w:w="219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总氰化物</w:t>
                  </w:r>
                </w:p>
              </w:tc>
              <w:tc>
                <w:tcPr>
                  <w:tcW w:w="2116"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0.2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11</w:t>
                  </w:r>
                </w:p>
              </w:tc>
              <w:tc>
                <w:tcPr>
                  <w:tcW w:w="219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三氯甲烷</w:t>
                  </w:r>
                </w:p>
              </w:tc>
              <w:tc>
                <w:tcPr>
                  <w:tcW w:w="2116"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0.3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684"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12</w:t>
                  </w:r>
                </w:p>
              </w:tc>
              <w:tc>
                <w:tcPr>
                  <w:tcW w:w="2199" w:type="pct"/>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四氯乙烯</w:t>
                  </w:r>
                </w:p>
              </w:tc>
              <w:tc>
                <w:tcPr>
                  <w:tcW w:w="2116" w:type="pct"/>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0.1</w:t>
                  </w:r>
                </w:p>
              </w:tc>
            </w:tr>
          </w:tbl>
          <w:p>
            <w:pPr>
              <w:pStyle w:val="2"/>
              <w:numPr>
                <w:ilvl w:val="0"/>
                <w:numId w:val="0"/>
              </w:numPr>
              <w:jc w:val="both"/>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注*：每年11月1日至次年3月31日执行括号内排放限值。</w:t>
            </w:r>
          </w:p>
          <w:p>
            <w:pPr>
              <w:pStyle w:val="2"/>
              <w:numPr>
                <w:ilvl w:val="0"/>
                <w:numId w:val="0"/>
              </w:numPr>
              <w:spacing w:line="360" w:lineRule="auto"/>
              <w:ind w:left="0" w:leftChars="0" w:firstLine="0" w:firstLineChars="0"/>
              <w:jc w:val="both"/>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color w:val="000000"/>
                <w:sz w:val="24"/>
                <w:szCs w:val="24"/>
                <w:lang w:val="en-US" w:eastAsia="zh-CN" w:bidi="ar-SA"/>
              </w:rPr>
              <w:t>2、</w:t>
            </w:r>
            <w:r>
              <w:rPr>
                <w:rFonts w:hint="default" w:ascii="Times New Roman" w:hAnsi="Times New Roman" w:eastAsia="宋体" w:cs="Times New Roman"/>
                <w:b w:val="0"/>
                <w:bCs/>
                <w:sz w:val="24"/>
                <w:szCs w:val="24"/>
                <w:lang w:val="en-US" w:eastAsia="zh-CN"/>
              </w:rPr>
              <w:t>废气排放标准</w:t>
            </w:r>
          </w:p>
          <w:p>
            <w:pPr>
              <w:tabs>
                <w:tab w:val="left" w:pos="5142"/>
              </w:tabs>
              <w:snapToGrid w:val="0"/>
              <w:spacing w:line="360" w:lineRule="auto"/>
              <w:ind w:firstLine="480" w:firstLineChars="200"/>
              <w:jc w:val="both"/>
              <w:rPr>
                <w:rFonts w:hint="default" w:ascii="Times New Roman" w:hAnsi="Times New Roman" w:eastAsia="宋体" w:cs="Times New Roman"/>
                <w:bCs/>
                <w:color w:val="000000"/>
                <w:sz w:val="24"/>
                <w:szCs w:val="24"/>
              </w:rPr>
            </w:pPr>
            <w:bookmarkStart w:id="3" w:name="_Hlk129768177"/>
            <w:r>
              <w:rPr>
                <w:rFonts w:hint="default" w:ascii="Times New Roman" w:hAnsi="Times New Roman" w:eastAsia="宋体" w:cs="Times New Roman"/>
                <w:bCs/>
                <w:color w:val="000000"/>
                <w:sz w:val="24"/>
                <w:szCs w:val="24"/>
              </w:rPr>
              <w:t>建设项目运营过程中排放的大气污染物硝酸雾（以氮氧化物计）、氯化氢、硫酸雾、氯气、非甲烷总烃排放执行《大气污染物综合排放标准》（DB32/4041-2021）表1以及表3标准；氨、二硫化碳以及臭气浓度排放执行《恶臭污染物排放标准》（GB14554-93）表1、2标准</w:t>
            </w:r>
            <w:bookmarkEnd w:id="3"/>
            <w:r>
              <w:rPr>
                <w:rFonts w:hint="default" w:ascii="Times New Roman" w:hAnsi="Times New Roman" w:eastAsia="宋体" w:cs="Times New Roman"/>
                <w:bCs/>
                <w:color w:val="000000"/>
                <w:sz w:val="24"/>
                <w:szCs w:val="24"/>
              </w:rPr>
              <w:t>；厂区内VOCs排放执行</w:t>
            </w:r>
            <w:bookmarkStart w:id="4" w:name="_Hlk129767884"/>
            <w:r>
              <w:rPr>
                <w:rFonts w:hint="default" w:ascii="Times New Roman" w:hAnsi="Times New Roman" w:eastAsia="宋体" w:cs="Times New Roman"/>
                <w:sz w:val="24"/>
                <w:szCs w:val="24"/>
              </w:rPr>
              <w:t>《挥发性有机物无组织排放控制标准》</w:t>
            </w:r>
            <w:bookmarkEnd w:id="4"/>
            <w:r>
              <w:rPr>
                <w:rFonts w:hint="default" w:ascii="Times New Roman" w:hAnsi="Times New Roman" w:eastAsia="宋体" w:cs="Times New Roman"/>
                <w:bCs/>
                <w:color w:val="000000"/>
                <w:sz w:val="24"/>
                <w:szCs w:val="24"/>
              </w:rPr>
              <w:t>，具体见表</w:t>
            </w:r>
            <w:r>
              <w:rPr>
                <w:rFonts w:hint="default" w:ascii="Times New Roman" w:hAnsi="Times New Roman" w:eastAsia="宋体" w:cs="Times New Roman"/>
                <w:bCs/>
                <w:color w:val="000000"/>
                <w:sz w:val="24"/>
                <w:szCs w:val="24"/>
                <w:lang w:val="en-US" w:eastAsia="zh-CN"/>
              </w:rPr>
              <w:t>1</w:t>
            </w:r>
            <w:r>
              <w:rPr>
                <w:rFonts w:hint="default" w:ascii="Times New Roman" w:hAnsi="Times New Roman" w:eastAsia="宋体" w:cs="Times New Roman"/>
                <w:bCs/>
                <w:color w:val="000000"/>
                <w:sz w:val="24"/>
                <w:szCs w:val="24"/>
              </w:rPr>
              <w:t>-</w:t>
            </w:r>
            <w:r>
              <w:rPr>
                <w:rFonts w:hint="eastAsia" w:ascii="Times New Roman" w:hAnsi="Times New Roman" w:eastAsia="宋体" w:cs="Times New Roman"/>
                <w:bCs/>
                <w:color w:val="000000"/>
                <w:sz w:val="24"/>
                <w:szCs w:val="24"/>
                <w:lang w:val="en-US" w:eastAsia="zh-CN"/>
              </w:rPr>
              <w:t>3</w:t>
            </w:r>
            <w:r>
              <w:rPr>
                <w:rFonts w:hint="default" w:ascii="Times New Roman" w:hAnsi="Times New Roman" w:eastAsia="宋体" w:cs="Times New Roman"/>
                <w:bCs/>
                <w:color w:val="000000"/>
                <w:sz w:val="24"/>
                <w:szCs w:val="24"/>
              </w:rPr>
              <w:t>、</w:t>
            </w:r>
            <w:r>
              <w:rPr>
                <w:rFonts w:hint="default" w:ascii="Times New Roman" w:hAnsi="Times New Roman" w:eastAsia="宋体" w:cs="Times New Roman"/>
                <w:bCs/>
                <w:color w:val="000000"/>
                <w:sz w:val="24"/>
                <w:szCs w:val="24"/>
                <w:lang w:val="en-US" w:eastAsia="zh-CN"/>
              </w:rPr>
              <w:t>1</w:t>
            </w:r>
            <w:r>
              <w:rPr>
                <w:rFonts w:hint="default" w:ascii="Times New Roman" w:hAnsi="Times New Roman" w:eastAsia="宋体" w:cs="Times New Roman"/>
                <w:bCs/>
                <w:color w:val="000000"/>
                <w:sz w:val="24"/>
                <w:szCs w:val="24"/>
              </w:rPr>
              <w:t>-</w:t>
            </w:r>
            <w:r>
              <w:rPr>
                <w:rFonts w:hint="eastAsia" w:ascii="Times New Roman" w:hAnsi="Times New Roman" w:eastAsia="宋体" w:cs="Times New Roman"/>
                <w:bCs/>
                <w:color w:val="000000"/>
                <w:sz w:val="24"/>
                <w:szCs w:val="24"/>
                <w:lang w:val="en-US" w:eastAsia="zh-CN"/>
              </w:rPr>
              <w:t>4</w:t>
            </w:r>
            <w:r>
              <w:rPr>
                <w:rFonts w:hint="default" w:ascii="Times New Roman" w:hAnsi="Times New Roman" w:eastAsia="宋体" w:cs="Times New Roman"/>
                <w:bCs/>
                <w:color w:val="000000"/>
                <w:sz w:val="24"/>
                <w:szCs w:val="24"/>
              </w:rPr>
              <w:t>。</w:t>
            </w:r>
          </w:p>
          <w:p>
            <w:pPr>
              <w:pStyle w:val="2"/>
              <w:numPr>
                <w:ilvl w:val="0"/>
                <w:numId w:val="0"/>
              </w:numPr>
              <w:spacing w:line="240" w:lineRule="auto"/>
              <w:ind w:leftChars="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表1-</w:t>
            </w:r>
            <w:r>
              <w:rPr>
                <w:rFonts w:hint="eastAsia" w:ascii="Times New Roman" w:hAnsi="Times New Roman" w:cs="Times New Roman"/>
                <w:b/>
                <w:bCs/>
                <w:sz w:val="21"/>
                <w:szCs w:val="21"/>
                <w:lang w:val="en-US" w:eastAsia="zh-CN"/>
              </w:rPr>
              <w:t>3</w:t>
            </w:r>
            <w:r>
              <w:rPr>
                <w:rFonts w:hint="default" w:ascii="Times New Roman" w:hAnsi="Times New Roman" w:eastAsia="宋体" w:cs="Times New Roman"/>
                <w:b/>
                <w:bCs/>
                <w:sz w:val="21"/>
                <w:szCs w:val="21"/>
                <w:lang w:val="en-US" w:eastAsia="zh-CN"/>
              </w:rPr>
              <w:t xml:space="preserve">  大气污染物排放标准限值</w:t>
            </w:r>
          </w:p>
          <w:tbl>
            <w:tblPr>
              <w:tblStyle w:val="20"/>
              <w:tblW w:w="4996"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373"/>
              <w:gridCol w:w="520"/>
              <w:gridCol w:w="732"/>
              <w:gridCol w:w="643"/>
              <w:gridCol w:w="925"/>
              <w:gridCol w:w="703"/>
              <w:gridCol w:w="972"/>
              <w:gridCol w:w="16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restart"/>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bookmarkStart w:id="5" w:name="_Hlk129768035"/>
                  <w:r>
                    <w:rPr>
                      <w:rFonts w:hint="default" w:ascii="Times New Roman" w:hAnsi="Times New Roman" w:eastAsia="宋体" w:cs="Times New Roman"/>
                      <w:b/>
                      <w:color w:val="000000"/>
                      <w:sz w:val="21"/>
                      <w:szCs w:val="21"/>
                    </w:rPr>
                    <w:t>适用工序</w:t>
                  </w:r>
                </w:p>
              </w:tc>
              <w:tc>
                <w:tcPr>
                  <w:tcW w:w="649" w:type="dxa"/>
                  <w:vMerge w:val="restart"/>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污染物</w:t>
                  </w:r>
                </w:p>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名称</w:t>
                  </w:r>
                </w:p>
              </w:tc>
              <w:tc>
                <w:tcPr>
                  <w:tcW w:w="609" w:type="dxa"/>
                  <w:vMerge w:val="restart"/>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最高允许排放浓度 (mg/m</w:t>
                  </w:r>
                  <w:r>
                    <w:rPr>
                      <w:rFonts w:hint="default" w:ascii="Times New Roman" w:hAnsi="Times New Roman" w:eastAsia="宋体" w:cs="Times New Roman"/>
                      <w:b/>
                      <w:color w:val="000000"/>
                      <w:sz w:val="21"/>
                      <w:szCs w:val="21"/>
                      <w:vertAlign w:val="superscript"/>
                    </w:rPr>
                    <w:t>3</w:t>
                  </w:r>
                  <w:r>
                    <w:rPr>
                      <w:rFonts w:hint="default" w:ascii="Times New Roman" w:hAnsi="Times New Roman" w:eastAsia="宋体" w:cs="Times New Roman"/>
                      <w:b/>
                      <w:color w:val="000000"/>
                      <w:sz w:val="21"/>
                      <w:szCs w:val="21"/>
                    </w:rPr>
                    <w:t>)</w:t>
                  </w:r>
                </w:p>
              </w:tc>
              <w:tc>
                <w:tcPr>
                  <w:tcW w:w="659" w:type="dxa"/>
                  <w:vMerge w:val="restart"/>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排气筒高度（m）</w:t>
                  </w:r>
                </w:p>
              </w:tc>
              <w:tc>
                <w:tcPr>
                  <w:tcW w:w="967" w:type="dxa"/>
                  <w:vMerge w:val="restart"/>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最高允许排放速率（kg/h）</w:t>
                  </w:r>
                </w:p>
              </w:tc>
              <w:tc>
                <w:tcPr>
                  <w:tcW w:w="1985" w:type="dxa"/>
                  <w:gridSpan w:val="2"/>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无组织排放监控浓度限值</w:t>
                  </w:r>
                </w:p>
              </w:tc>
              <w:tc>
                <w:tcPr>
                  <w:tcW w:w="992" w:type="dxa"/>
                  <w:vMerge w:val="restart"/>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655" w:hRule="atLeast"/>
              </w:trPr>
              <w:tc>
                <w:tcPr>
                  <w:tcW w:w="441"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p>
              </w:tc>
              <w:tc>
                <w:tcPr>
                  <w:tcW w:w="649"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p>
              </w:tc>
              <w:tc>
                <w:tcPr>
                  <w:tcW w:w="609"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p>
              </w:tc>
              <w:tc>
                <w:tcPr>
                  <w:tcW w:w="659" w:type="dxa"/>
                  <w:vMerge w:val="continue"/>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p>
              </w:tc>
              <w:tc>
                <w:tcPr>
                  <w:tcW w:w="967" w:type="dxa"/>
                  <w:vMerge w:val="continue"/>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p>
              </w:tc>
              <w:tc>
                <w:tcPr>
                  <w:tcW w:w="911" w:type="dxa"/>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监控点</w:t>
                  </w: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浓度(mg/m</w:t>
                  </w:r>
                  <w:r>
                    <w:rPr>
                      <w:rFonts w:hint="default" w:ascii="Times New Roman" w:hAnsi="Times New Roman" w:eastAsia="宋体" w:cs="Times New Roman"/>
                      <w:b/>
                      <w:color w:val="000000"/>
                      <w:sz w:val="21"/>
                      <w:szCs w:val="21"/>
                      <w:vertAlign w:val="superscript"/>
                    </w:rPr>
                    <w:t>3</w:t>
                  </w:r>
                  <w:r>
                    <w:rPr>
                      <w:rFonts w:hint="default" w:ascii="Times New Roman" w:hAnsi="Times New Roman" w:eastAsia="宋体" w:cs="Times New Roman"/>
                      <w:b/>
                      <w:color w:val="000000"/>
                      <w:sz w:val="21"/>
                      <w:szCs w:val="21"/>
                    </w:rPr>
                    <w:t>)</w:t>
                  </w:r>
                </w:p>
              </w:tc>
              <w:tc>
                <w:tcPr>
                  <w:tcW w:w="992" w:type="dxa"/>
                  <w:vMerge w:val="continue"/>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restart"/>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snapToGrid w:val="0"/>
                      <w:color w:val="000000"/>
                      <w:sz w:val="21"/>
                      <w:szCs w:val="21"/>
                    </w:rPr>
                    <w:t>检测试验</w:t>
                  </w:r>
                </w:p>
              </w:tc>
              <w:tc>
                <w:tcPr>
                  <w:tcW w:w="649" w:type="dxa"/>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bCs/>
                      <w:color w:val="000000"/>
                      <w:sz w:val="21"/>
                      <w:szCs w:val="21"/>
                    </w:rPr>
                    <w:t>氮氧化物</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100</w:t>
                  </w:r>
                </w:p>
              </w:tc>
              <w:tc>
                <w:tcPr>
                  <w:tcW w:w="659" w:type="dxa"/>
                  <w:vMerge w:val="restart"/>
                  <w:tcMar>
                    <w:left w:w="0" w:type="dxa"/>
                    <w:right w:w="0" w:type="dxa"/>
                  </w:tcMar>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15</w:t>
                  </w:r>
                </w:p>
              </w:tc>
              <w:tc>
                <w:tcPr>
                  <w:tcW w:w="967" w:type="dxa"/>
                  <w:tcMar>
                    <w:left w:w="0" w:type="dxa"/>
                    <w:right w:w="0" w:type="dxa"/>
                  </w:tcMar>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0.47</w:t>
                  </w:r>
                </w:p>
              </w:tc>
              <w:tc>
                <w:tcPr>
                  <w:tcW w:w="911" w:type="dxa"/>
                  <w:vMerge w:val="restart"/>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周界外浓度最高点</w:t>
                  </w: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0.12</w:t>
                  </w:r>
                </w:p>
              </w:tc>
              <w:tc>
                <w:tcPr>
                  <w:tcW w:w="992" w:type="dxa"/>
                  <w:vMerge w:val="restart"/>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rPr>
                    <w:t>《大气污染物综合排放标准》(DB32/4041-2021</w:t>
                  </w:r>
                  <w:r>
                    <w:rPr>
                      <w:rFonts w:hint="eastAsia" w:ascii="Times New Roman" w:hAnsi="Times New Roman" w:eastAsia="宋体" w:cs="Times New Roman"/>
                      <w:color w:val="000000"/>
                      <w:sz w:val="21"/>
                      <w:szCs w:val="21"/>
                      <w:lang w:val="en-US" w:eastAsia="zh-CN"/>
                    </w:rPr>
                    <w:t>)</w:t>
                  </w:r>
                  <w:r>
                    <w:rPr>
                      <w:rFonts w:hint="default" w:ascii="Times New Roman" w:hAnsi="Times New Roman" w:eastAsia="宋体" w:cs="Times New Roman"/>
                      <w:color w:val="000000"/>
                      <w:sz w:val="21"/>
                      <w:szCs w:val="21"/>
                    </w:rPr>
                    <w:t>表1以及表3标准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硫酸雾</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5</w:t>
                  </w:r>
                </w:p>
              </w:tc>
              <w:tc>
                <w:tcPr>
                  <w:tcW w:w="659" w:type="dxa"/>
                  <w:vMerge w:val="continue"/>
                  <w:tcMar>
                    <w:left w:w="0" w:type="dxa"/>
                    <w:right w:w="0" w:type="dxa"/>
                  </w:tcMar>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tcMar>
                    <w:left w:w="0" w:type="dxa"/>
                    <w:right w:w="0" w:type="dxa"/>
                  </w:tcMar>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1.1</w:t>
                  </w:r>
                </w:p>
              </w:tc>
              <w:tc>
                <w:tcPr>
                  <w:tcW w:w="911" w:type="dxa"/>
                  <w:vMerge w:val="continue"/>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0.3</w:t>
                  </w:r>
                </w:p>
              </w:tc>
              <w:tc>
                <w:tcPr>
                  <w:tcW w:w="992" w:type="dxa"/>
                  <w:vMerge w:val="continue"/>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氯化氢</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10</w:t>
                  </w:r>
                </w:p>
              </w:tc>
              <w:tc>
                <w:tcPr>
                  <w:tcW w:w="659" w:type="dxa"/>
                  <w:vMerge w:val="continue"/>
                  <w:tcMar>
                    <w:left w:w="0" w:type="dxa"/>
                    <w:right w:w="0" w:type="dxa"/>
                  </w:tcMar>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tcMar>
                    <w:left w:w="0" w:type="dxa"/>
                    <w:right w:w="0" w:type="dxa"/>
                  </w:tcMar>
                  <w:vAlign w:val="center"/>
                </w:tcPr>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0.18</w:t>
                  </w:r>
                </w:p>
              </w:tc>
              <w:tc>
                <w:tcPr>
                  <w:tcW w:w="911" w:type="dxa"/>
                  <w:vMerge w:val="continue"/>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0.05</w:t>
                  </w:r>
                </w:p>
              </w:tc>
              <w:tc>
                <w:tcPr>
                  <w:tcW w:w="992" w:type="dxa"/>
                  <w:vMerge w:val="continue"/>
                  <w:tcMar>
                    <w:left w:w="0" w:type="dxa"/>
                    <w:right w:w="0" w:type="dxa"/>
                  </w:tcMar>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snapToGrid w:val="0"/>
                      <w:color w:val="000000"/>
                      <w:sz w:val="21"/>
                      <w:szCs w:val="21"/>
                    </w:rPr>
                    <w:t>非甲烷总烃</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60</w:t>
                  </w:r>
                </w:p>
              </w:tc>
              <w:tc>
                <w:tcPr>
                  <w:tcW w:w="659" w:type="dxa"/>
                  <w:vMerge w:val="continue"/>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vAlign w:val="center"/>
                </w:tcPr>
                <w:p>
                  <w:pPr>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3</w:t>
                  </w:r>
                </w:p>
              </w:tc>
              <w:tc>
                <w:tcPr>
                  <w:tcW w:w="911"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4</w:t>
                  </w:r>
                </w:p>
              </w:tc>
              <w:tc>
                <w:tcPr>
                  <w:tcW w:w="992"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snapToGrid w:val="0"/>
                      <w:color w:val="000000"/>
                      <w:sz w:val="21"/>
                      <w:szCs w:val="21"/>
                    </w:rPr>
                    <w:t>甲醛</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5</w:t>
                  </w:r>
                </w:p>
              </w:tc>
              <w:tc>
                <w:tcPr>
                  <w:tcW w:w="659" w:type="dxa"/>
                  <w:vMerge w:val="continue"/>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vAlign w:val="center"/>
                </w:tcPr>
                <w:p>
                  <w:pPr>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0.1</w:t>
                  </w:r>
                </w:p>
              </w:tc>
              <w:tc>
                <w:tcPr>
                  <w:tcW w:w="911"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0.05</w:t>
                  </w:r>
                </w:p>
              </w:tc>
              <w:tc>
                <w:tcPr>
                  <w:tcW w:w="992"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snapToGrid w:val="0"/>
                      <w:color w:val="000000"/>
                      <w:sz w:val="21"/>
                      <w:szCs w:val="21"/>
                    </w:rPr>
                    <w:t>三氯甲烷</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20</w:t>
                  </w:r>
                </w:p>
              </w:tc>
              <w:tc>
                <w:tcPr>
                  <w:tcW w:w="659" w:type="dxa"/>
                  <w:vMerge w:val="continue"/>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vAlign w:val="center"/>
                </w:tcPr>
                <w:p>
                  <w:pPr>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0.45</w:t>
                  </w:r>
                </w:p>
              </w:tc>
              <w:tc>
                <w:tcPr>
                  <w:tcW w:w="911"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0.4</w:t>
                  </w:r>
                </w:p>
              </w:tc>
              <w:tc>
                <w:tcPr>
                  <w:tcW w:w="992"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snapToGrid w:val="0"/>
                      <w:color w:val="000000"/>
                      <w:sz w:val="21"/>
                      <w:szCs w:val="21"/>
                    </w:rPr>
                    <w:t>四氯乙烯</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80</w:t>
                  </w:r>
                </w:p>
              </w:tc>
              <w:tc>
                <w:tcPr>
                  <w:tcW w:w="659" w:type="dxa"/>
                  <w:vMerge w:val="continue"/>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vAlign w:val="center"/>
                </w:tcPr>
                <w:p>
                  <w:pPr>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2</w:t>
                  </w:r>
                </w:p>
              </w:tc>
              <w:tc>
                <w:tcPr>
                  <w:tcW w:w="911"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1</w:t>
                  </w:r>
                </w:p>
              </w:tc>
              <w:tc>
                <w:tcPr>
                  <w:tcW w:w="992"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snapToGrid w:val="0"/>
                      <w:color w:val="000000"/>
                      <w:sz w:val="21"/>
                      <w:szCs w:val="21"/>
                    </w:rPr>
                    <w:t>氯气</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3</w:t>
                  </w:r>
                </w:p>
              </w:tc>
              <w:tc>
                <w:tcPr>
                  <w:tcW w:w="659" w:type="dxa"/>
                  <w:vMerge w:val="continue"/>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vAlign w:val="center"/>
                </w:tcPr>
                <w:p>
                  <w:pPr>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0.072</w:t>
                  </w:r>
                </w:p>
              </w:tc>
              <w:tc>
                <w:tcPr>
                  <w:tcW w:w="911"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0.1</w:t>
                  </w:r>
                </w:p>
              </w:tc>
              <w:tc>
                <w:tcPr>
                  <w:tcW w:w="992"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snapToGrid w:val="0"/>
                      <w:color w:val="000000"/>
                      <w:sz w:val="21"/>
                      <w:szCs w:val="21"/>
                    </w:rPr>
                    <w:t>二硫化碳</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w:t>
                  </w:r>
                </w:p>
              </w:tc>
              <w:tc>
                <w:tcPr>
                  <w:tcW w:w="659" w:type="dxa"/>
                  <w:vMerge w:val="continue"/>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vAlign w:val="center"/>
                </w:tcPr>
                <w:p>
                  <w:pPr>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1.5</w:t>
                  </w:r>
                </w:p>
              </w:tc>
              <w:tc>
                <w:tcPr>
                  <w:tcW w:w="911" w:type="dxa"/>
                  <w:vMerge w:val="continue"/>
                  <w:vAlign w:val="center"/>
                </w:tcPr>
                <w:p>
                  <w:pPr>
                    <w:pStyle w:val="18"/>
                    <w:adjustRightInd w:val="0"/>
                    <w:snapToGrid w:val="0"/>
                    <w:spacing w:after="0"/>
                    <w:ind w:firstLine="180"/>
                    <w:jc w:val="center"/>
                    <w:rPr>
                      <w:rFonts w:hint="default" w:ascii="Times New Roman" w:hAnsi="Times New Roman" w:eastAsia="宋体" w:cs="Times New Roman"/>
                      <w:color w:val="000000"/>
                      <w:sz w:val="21"/>
                      <w:szCs w:val="21"/>
                    </w:rPr>
                  </w:pP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3.0</w:t>
                  </w:r>
                </w:p>
              </w:tc>
              <w:tc>
                <w:tcPr>
                  <w:tcW w:w="992" w:type="dxa"/>
                  <w:vMerge w:val="restart"/>
                  <w:vAlign w:val="center"/>
                </w:tcPr>
                <w:p>
                  <w:pPr>
                    <w:pStyle w:val="18"/>
                    <w:adjustRightInd w:val="0"/>
                    <w:snapToGrid w:val="0"/>
                    <w:spacing w:after="0"/>
                    <w:ind w:firstLine="18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《恶臭污染物排放标准》（GB14554-93）表1以及表2标准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snapToGrid w:val="0"/>
                      <w:color w:val="000000"/>
                      <w:sz w:val="21"/>
                      <w:szCs w:val="21"/>
                    </w:rPr>
                    <w:t>氨</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w:t>
                  </w:r>
                </w:p>
              </w:tc>
              <w:tc>
                <w:tcPr>
                  <w:tcW w:w="659" w:type="dxa"/>
                  <w:vMerge w:val="continue"/>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vAlign w:val="center"/>
                </w:tcPr>
                <w:p>
                  <w:pPr>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4.9</w:t>
                  </w:r>
                </w:p>
              </w:tc>
              <w:tc>
                <w:tcPr>
                  <w:tcW w:w="911"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1.5</w:t>
                  </w:r>
                </w:p>
              </w:tc>
              <w:tc>
                <w:tcPr>
                  <w:tcW w:w="992"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Pr>
              <w:tc>
                <w:tcPr>
                  <w:tcW w:w="441" w:type="dxa"/>
                  <w:vMerge w:val="continue"/>
                  <w:vAlign w:val="center"/>
                </w:tcPr>
                <w:p>
                  <w:pPr>
                    <w:adjustRightInd w:val="0"/>
                    <w:snapToGrid w:val="0"/>
                    <w:jc w:val="center"/>
                    <w:rPr>
                      <w:rFonts w:hint="default" w:ascii="Times New Roman" w:hAnsi="Times New Roman" w:eastAsia="宋体" w:cs="Times New Roman"/>
                      <w:snapToGrid w:val="0"/>
                      <w:color w:val="000000"/>
                      <w:sz w:val="21"/>
                      <w:szCs w:val="21"/>
                    </w:rPr>
                  </w:pPr>
                </w:p>
              </w:tc>
              <w:tc>
                <w:tcPr>
                  <w:tcW w:w="649" w:type="dxa"/>
                  <w:vAlign w:val="center"/>
                </w:tcPr>
                <w:p>
                  <w:pPr>
                    <w:adjustRightInd w:val="0"/>
                    <w:snapToGrid w:val="0"/>
                    <w:jc w:val="center"/>
                    <w:rPr>
                      <w:rFonts w:hint="default" w:ascii="Times New Roman" w:hAnsi="Times New Roman" w:eastAsia="宋体" w:cs="Times New Roman"/>
                      <w:snapToGrid w:val="0"/>
                      <w:color w:val="000000"/>
                      <w:sz w:val="21"/>
                      <w:szCs w:val="21"/>
                    </w:rPr>
                  </w:pPr>
                  <w:r>
                    <w:rPr>
                      <w:rFonts w:hint="default" w:ascii="Times New Roman" w:hAnsi="Times New Roman" w:eastAsia="宋体" w:cs="Times New Roman"/>
                      <w:snapToGrid w:val="0"/>
                      <w:color w:val="000000"/>
                      <w:sz w:val="21"/>
                      <w:szCs w:val="21"/>
                    </w:rPr>
                    <w:t>臭气浓度</w:t>
                  </w:r>
                </w:p>
              </w:tc>
              <w:tc>
                <w:tcPr>
                  <w:tcW w:w="609" w:type="dxa"/>
                  <w:vAlign w:val="center"/>
                </w:tcPr>
                <w:p>
                  <w:pPr>
                    <w:widowControl/>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w:t>
                  </w:r>
                </w:p>
              </w:tc>
              <w:tc>
                <w:tcPr>
                  <w:tcW w:w="659" w:type="dxa"/>
                  <w:vMerge w:val="continue"/>
                  <w:vAlign w:val="center"/>
                </w:tcPr>
                <w:p>
                  <w:pPr>
                    <w:adjustRightInd w:val="0"/>
                    <w:snapToGrid w:val="0"/>
                    <w:jc w:val="center"/>
                    <w:rPr>
                      <w:rFonts w:hint="default" w:ascii="Times New Roman" w:hAnsi="Times New Roman" w:eastAsia="宋体" w:cs="Times New Roman"/>
                      <w:color w:val="000000"/>
                      <w:sz w:val="21"/>
                      <w:szCs w:val="21"/>
                    </w:rPr>
                  </w:pPr>
                </w:p>
              </w:tc>
              <w:tc>
                <w:tcPr>
                  <w:tcW w:w="967" w:type="dxa"/>
                  <w:vAlign w:val="center"/>
                </w:tcPr>
                <w:p>
                  <w:pPr>
                    <w:adjustRightInd w:val="0"/>
                    <w:snapToGrid w:val="0"/>
                    <w:jc w:val="center"/>
                    <w:rPr>
                      <w:rFonts w:hint="default" w:ascii="Times New Roman" w:hAnsi="Times New Roman" w:eastAsia="宋体" w:cs="Times New Roman"/>
                      <w:color w:val="000000"/>
                      <w:kern w:val="0"/>
                      <w:sz w:val="21"/>
                      <w:szCs w:val="21"/>
                      <w:lang w:bidi="th-TH"/>
                    </w:rPr>
                  </w:pPr>
                  <w:r>
                    <w:rPr>
                      <w:rFonts w:hint="default" w:ascii="Times New Roman" w:hAnsi="Times New Roman" w:eastAsia="宋体" w:cs="Times New Roman"/>
                      <w:color w:val="000000"/>
                      <w:kern w:val="0"/>
                      <w:sz w:val="21"/>
                      <w:szCs w:val="21"/>
                      <w:lang w:bidi="th-TH"/>
                    </w:rPr>
                    <w:t>2000（无量纲）</w:t>
                  </w:r>
                </w:p>
              </w:tc>
              <w:tc>
                <w:tcPr>
                  <w:tcW w:w="911" w:type="dxa"/>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厂界标准值</w:t>
                  </w:r>
                </w:p>
              </w:tc>
              <w:tc>
                <w:tcPr>
                  <w:tcW w:w="1074" w:type="dxa"/>
                  <w:vAlign w:val="center"/>
                </w:tcPr>
                <w:p>
                  <w:pPr>
                    <w:pStyle w:val="18"/>
                    <w:adjustRightInd w:val="0"/>
                    <w:snapToGrid w:val="0"/>
                    <w:spacing w:after="0"/>
                    <w:ind w:firstLine="0" w:firstLineChars="0"/>
                    <w:jc w:val="center"/>
                    <w:rPr>
                      <w:rFonts w:hint="default" w:ascii="Times New Roman" w:hAnsi="Times New Roman" w:eastAsia="宋体" w:cs="Times New Roman"/>
                      <w:bCs/>
                      <w:color w:val="000000"/>
                      <w:sz w:val="21"/>
                      <w:szCs w:val="21"/>
                    </w:rPr>
                  </w:pPr>
                  <w:r>
                    <w:rPr>
                      <w:rFonts w:hint="default" w:ascii="Times New Roman" w:hAnsi="Times New Roman" w:eastAsia="宋体" w:cs="Times New Roman"/>
                      <w:bCs/>
                      <w:color w:val="000000"/>
                      <w:sz w:val="21"/>
                      <w:szCs w:val="21"/>
                    </w:rPr>
                    <w:t>20</w:t>
                  </w:r>
                  <w:r>
                    <w:rPr>
                      <w:rFonts w:hint="default" w:ascii="Times New Roman" w:hAnsi="Times New Roman" w:eastAsia="宋体" w:cs="Times New Roman"/>
                      <w:color w:val="000000"/>
                      <w:kern w:val="0"/>
                      <w:sz w:val="21"/>
                      <w:szCs w:val="21"/>
                      <w:lang w:bidi="th-TH"/>
                    </w:rPr>
                    <w:t>（无量纲）</w:t>
                  </w:r>
                </w:p>
              </w:tc>
              <w:tc>
                <w:tcPr>
                  <w:tcW w:w="992" w:type="dxa"/>
                  <w:vMerge w:val="continue"/>
                  <w:vAlign w:val="center"/>
                </w:tcPr>
                <w:p>
                  <w:pPr>
                    <w:pStyle w:val="18"/>
                    <w:adjustRightInd w:val="0"/>
                    <w:snapToGrid w:val="0"/>
                    <w:spacing w:after="0"/>
                    <w:ind w:firstLine="0" w:firstLineChars="0"/>
                    <w:jc w:val="center"/>
                    <w:rPr>
                      <w:rFonts w:hint="default" w:ascii="Times New Roman" w:hAnsi="Times New Roman" w:eastAsia="宋体" w:cs="Times New Roman"/>
                      <w:color w:val="000000"/>
                      <w:sz w:val="21"/>
                      <w:szCs w:val="21"/>
                    </w:rPr>
                  </w:pPr>
                </w:p>
              </w:tc>
            </w:tr>
            <w:bookmarkEnd w:id="5"/>
          </w:tbl>
          <w:p>
            <w:pPr>
              <w:pStyle w:val="2"/>
              <w:numPr>
                <w:ilvl w:val="0"/>
                <w:numId w:val="0"/>
              </w:numPr>
              <w:spacing w:line="240" w:lineRule="auto"/>
              <w:ind w:leftChars="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表1-</w:t>
            </w:r>
            <w:r>
              <w:rPr>
                <w:rFonts w:hint="eastAsia" w:ascii="Times New Roman" w:hAnsi="Times New Roman" w:cs="Times New Roman"/>
                <w:b/>
                <w:bCs/>
                <w:sz w:val="21"/>
                <w:szCs w:val="21"/>
                <w:lang w:val="en-US" w:eastAsia="zh-CN"/>
              </w:rPr>
              <w:t>4</w:t>
            </w:r>
            <w:r>
              <w:rPr>
                <w:rFonts w:hint="default" w:ascii="Times New Roman" w:hAnsi="Times New Roman" w:eastAsia="宋体" w:cs="Times New Roman"/>
                <w:b/>
                <w:bCs/>
                <w:sz w:val="21"/>
                <w:szCs w:val="21"/>
                <w:lang w:val="en-US" w:eastAsia="zh-CN"/>
              </w:rPr>
              <w:t xml:space="preserve">  项目范围内VOCs无组织排放限值</w:t>
            </w:r>
          </w:p>
          <w:tbl>
            <w:tblPr>
              <w:tblStyle w:val="20"/>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1150"/>
              <w:gridCol w:w="1129"/>
              <w:gridCol w:w="1820"/>
              <w:gridCol w:w="154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78" w:type="pct"/>
                  <w:vAlign w:val="center"/>
                </w:tcPr>
                <w:p>
                  <w:pPr>
                    <w:adjustRightInd w:val="0"/>
                    <w:snapToGrid w:val="0"/>
                    <w:jc w:val="center"/>
                    <w:rPr>
                      <w:rFonts w:hint="default" w:ascii="Times New Roman" w:hAnsi="Times New Roman" w:eastAsia="宋体" w:cs="Times New Roman"/>
                      <w:b/>
                      <w:bCs/>
                      <w:sz w:val="21"/>
                      <w:szCs w:val="21"/>
                    </w:rPr>
                  </w:pPr>
                  <w:bookmarkStart w:id="6" w:name="_Hlk129767901"/>
                  <w:r>
                    <w:rPr>
                      <w:rFonts w:hint="default" w:ascii="Times New Roman" w:hAnsi="Times New Roman" w:eastAsia="宋体" w:cs="Times New Roman"/>
                      <w:b/>
                      <w:bCs/>
                      <w:sz w:val="21"/>
                      <w:szCs w:val="21"/>
                    </w:rPr>
                    <w:t>污染物项目</w:t>
                  </w:r>
                </w:p>
              </w:tc>
              <w:tc>
                <w:tcPr>
                  <w:tcW w:w="905" w:type="pct"/>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排放限值</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mg/m</w:t>
                  </w:r>
                  <w:r>
                    <w:rPr>
                      <w:rFonts w:hint="default" w:ascii="Times New Roman" w:hAnsi="Times New Roman" w:eastAsia="宋体" w:cs="Times New Roman"/>
                      <w:b/>
                      <w:bCs/>
                      <w:sz w:val="21"/>
                      <w:szCs w:val="21"/>
                      <w:vertAlign w:val="superscript"/>
                    </w:rPr>
                    <w:t>3</w:t>
                  </w:r>
                </w:p>
              </w:tc>
              <w:tc>
                <w:tcPr>
                  <w:tcW w:w="888" w:type="pct"/>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特别排放限值</w:t>
                  </w:r>
                </w:p>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mg/m</w:t>
                  </w:r>
                  <w:r>
                    <w:rPr>
                      <w:rFonts w:hint="default" w:ascii="Times New Roman" w:hAnsi="Times New Roman" w:eastAsia="宋体" w:cs="Times New Roman"/>
                      <w:b/>
                      <w:bCs/>
                      <w:sz w:val="21"/>
                      <w:szCs w:val="21"/>
                      <w:vertAlign w:val="superscript"/>
                    </w:rPr>
                    <w:t>3</w:t>
                  </w:r>
                </w:p>
              </w:tc>
              <w:tc>
                <w:tcPr>
                  <w:tcW w:w="1421" w:type="pct"/>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限值含义</w:t>
                  </w:r>
                </w:p>
              </w:tc>
              <w:tc>
                <w:tcPr>
                  <w:tcW w:w="1205" w:type="pct"/>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无组织排放监控位置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78" w:type="pct"/>
                  <w:vMerge w:val="restar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napToGrid w:val="0"/>
                      <w:sz w:val="21"/>
                      <w:szCs w:val="21"/>
                    </w:rPr>
                    <w:t>NMHC</w:t>
                  </w:r>
                </w:p>
              </w:tc>
              <w:tc>
                <w:tcPr>
                  <w:tcW w:w="905"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888"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1421"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监控点处1h平均浓度值</w:t>
                  </w:r>
                </w:p>
              </w:tc>
              <w:tc>
                <w:tcPr>
                  <w:tcW w:w="1205" w:type="pct"/>
                  <w:vMerge w:val="restar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监控点处任意一次浓度值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78" w:type="pct"/>
                  <w:vMerge w:val="continue"/>
                  <w:vAlign w:val="center"/>
                </w:tcPr>
                <w:p>
                  <w:pPr>
                    <w:adjustRightInd w:val="0"/>
                    <w:snapToGrid w:val="0"/>
                    <w:jc w:val="center"/>
                    <w:rPr>
                      <w:rFonts w:hint="default" w:ascii="Times New Roman" w:hAnsi="Times New Roman" w:eastAsia="宋体" w:cs="Times New Roman"/>
                      <w:sz w:val="21"/>
                      <w:szCs w:val="21"/>
                    </w:rPr>
                  </w:pPr>
                </w:p>
              </w:tc>
              <w:tc>
                <w:tcPr>
                  <w:tcW w:w="905"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p>
              </w:tc>
              <w:tc>
                <w:tcPr>
                  <w:tcW w:w="888"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30</w:t>
                  </w:r>
                </w:p>
              </w:tc>
              <w:tc>
                <w:tcPr>
                  <w:tcW w:w="1421"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监控点处任意一次浓度值</w:t>
                  </w:r>
                </w:p>
              </w:tc>
              <w:tc>
                <w:tcPr>
                  <w:tcW w:w="1205" w:type="pct"/>
                  <w:vMerge w:val="continue"/>
                  <w:vAlign w:val="center"/>
                </w:tcPr>
                <w:p>
                  <w:pPr>
                    <w:adjustRightInd w:val="0"/>
                    <w:snapToGrid w:val="0"/>
                    <w:jc w:val="center"/>
                    <w:rPr>
                      <w:rFonts w:hint="default" w:ascii="Times New Roman" w:hAnsi="Times New Roman" w:eastAsia="宋体" w:cs="Times New Roman"/>
                      <w:sz w:val="21"/>
                      <w:szCs w:val="21"/>
                    </w:rPr>
                  </w:pPr>
                </w:p>
              </w:tc>
            </w:tr>
            <w:bookmarkEnd w:id="6"/>
          </w:tbl>
          <w:p>
            <w:pPr>
              <w:pStyle w:val="2"/>
              <w:numPr>
                <w:ilvl w:val="0"/>
                <w:numId w:val="0"/>
              </w:numPr>
              <w:spacing w:line="360" w:lineRule="auto"/>
              <w:ind w:left="0" w:leftChars="0" w:firstLine="0" w:firstLineChars="0"/>
              <w:jc w:val="both"/>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color w:val="000000"/>
                <w:sz w:val="24"/>
                <w:szCs w:val="24"/>
                <w:lang w:val="en-US" w:eastAsia="zh-CN" w:bidi="ar-SA"/>
              </w:rPr>
              <w:t>3、</w:t>
            </w:r>
            <w:r>
              <w:rPr>
                <w:rFonts w:hint="default" w:ascii="Times New Roman" w:hAnsi="Times New Roman" w:eastAsia="宋体" w:cs="Times New Roman"/>
                <w:b w:val="0"/>
                <w:bCs w:val="0"/>
                <w:sz w:val="24"/>
                <w:szCs w:val="24"/>
                <w:lang w:val="en-US" w:eastAsia="zh-CN"/>
              </w:rPr>
              <w:t>噪声控制标准</w:t>
            </w:r>
          </w:p>
          <w:p>
            <w:pPr>
              <w:tabs>
                <w:tab w:val="left" w:pos="5142"/>
              </w:tabs>
              <w:adjustRightInd w:val="0"/>
              <w:snapToGrid w:val="0"/>
              <w:spacing w:line="360" w:lineRule="auto"/>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建设项目主要从事环境监测业务，包括土壤检测、水质检测、空气和废气检测、噪声检测等四大类，厂界噪声均执行《南通市主城区声环境功能区划分规定（2019年修订版）》（</w:t>
            </w:r>
            <w:r>
              <w:rPr>
                <w:rFonts w:hint="default" w:ascii="Times New Roman" w:hAnsi="Times New Roman" w:eastAsia="宋体" w:cs="Times New Roman"/>
                <w:sz w:val="24"/>
                <w:szCs w:val="24"/>
                <w:lang w:val="en-US" w:eastAsia="zh-CN"/>
              </w:rPr>
              <w:t>通政办发[2019]106号</w:t>
            </w:r>
            <w:r>
              <w:rPr>
                <w:rFonts w:hint="default" w:ascii="Times New Roman" w:hAnsi="Times New Roman" w:eastAsia="宋体" w:cs="Times New Roman"/>
                <w:sz w:val="24"/>
                <w:szCs w:val="24"/>
              </w:rPr>
              <w:t>）2类标准，见表</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w:t>
            </w:r>
          </w:p>
          <w:p>
            <w:pPr>
              <w:adjustRightInd w:val="0"/>
              <w:snapToGrid w:val="0"/>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表1-</w:t>
            </w:r>
            <w:r>
              <w:rPr>
                <w:rFonts w:hint="eastAsia" w:ascii="Times New Roman" w:hAnsi="Times New Roman" w:eastAsia="宋体" w:cs="Times New Roman"/>
                <w:b/>
                <w:bCs/>
                <w:sz w:val="21"/>
                <w:szCs w:val="21"/>
                <w:lang w:val="en-US" w:eastAsia="zh-CN"/>
              </w:rPr>
              <w:t>5</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工业企业厂界环境噪声排放标准值一览表  单位：dB（A）</w:t>
            </w:r>
          </w:p>
          <w:tbl>
            <w:tblPr>
              <w:tblStyle w:val="20"/>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28" w:type="dxa"/>
                <w:bottom w:w="0" w:type="dxa"/>
                <w:right w:w="28" w:type="dxa"/>
              </w:tblCellMar>
            </w:tblPr>
            <w:tblGrid>
              <w:gridCol w:w="880"/>
              <w:gridCol w:w="1301"/>
              <w:gridCol w:w="1623"/>
              <w:gridCol w:w="2685"/>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28" w:type="dxa"/>
                  <w:bottom w:w="0" w:type="dxa"/>
                  <w:right w:w="28" w:type="dxa"/>
                </w:tblCellMar>
              </w:tblPrEx>
              <w:trPr>
                <w:trHeight w:val="340" w:hRule="atLeast"/>
              </w:trPr>
              <w:tc>
                <w:tcPr>
                  <w:tcW w:w="678" w:type="pct"/>
                  <w:vAlign w:val="center"/>
                </w:tcPr>
                <w:p>
                  <w:pPr>
                    <w:adjustRightInd w:val="0"/>
                    <w:snapToGrid w:val="0"/>
                    <w:jc w:val="center"/>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功能区类别</w:t>
                  </w:r>
                </w:p>
              </w:tc>
              <w:tc>
                <w:tcPr>
                  <w:tcW w:w="1002" w:type="pct"/>
                  <w:vAlign w:val="center"/>
                </w:tcPr>
                <w:p>
                  <w:pPr>
                    <w:adjustRightInd w:val="0"/>
                    <w:snapToGrid w:val="0"/>
                    <w:jc w:val="center"/>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昼间（6:00～22:00）</w:t>
                  </w:r>
                </w:p>
              </w:tc>
              <w:tc>
                <w:tcPr>
                  <w:tcW w:w="1250" w:type="pct"/>
                  <w:vAlign w:val="center"/>
                </w:tcPr>
                <w:p>
                  <w:pPr>
                    <w:adjustRightInd w:val="0"/>
                    <w:snapToGrid w:val="0"/>
                    <w:jc w:val="center"/>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夜间（22:00～6:00）</w:t>
                  </w:r>
                </w:p>
              </w:tc>
              <w:tc>
                <w:tcPr>
                  <w:tcW w:w="2067" w:type="pct"/>
                  <w:vAlign w:val="center"/>
                </w:tcPr>
                <w:p>
                  <w:pPr>
                    <w:adjustRightInd w:val="0"/>
                    <w:snapToGrid w:val="0"/>
                    <w:jc w:val="center"/>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标准来源</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28" w:type="dxa"/>
                  <w:bottom w:w="0" w:type="dxa"/>
                  <w:right w:w="28" w:type="dxa"/>
                </w:tblCellMar>
              </w:tblPrEx>
              <w:trPr>
                <w:trHeight w:val="340" w:hRule="atLeast"/>
              </w:trPr>
              <w:tc>
                <w:tcPr>
                  <w:tcW w:w="678" w:type="pct"/>
                  <w:vAlign w:val="center"/>
                </w:tcPr>
                <w:p>
                  <w:pPr>
                    <w:adjustRightInd w:val="0"/>
                    <w:snapToGrid w:val="0"/>
                    <w:jc w:val="center"/>
                    <w:rPr>
                      <w:rFonts w:hint="default" w:ascii="Times New Roman" w:hAnsi="Times New Roman" w:eastAsia="宋体" w:cs="Times New Roman"/>
                      <w:bCs/>
                      <w:snapToGrid w:val="0"/>
                      <w:kern w:val="0"/>
                      <w:sz w:val="21"/>
                      <w:szCs w:val="21"/>
                    </w:rPr>
                  </w:pPr>
                  <w:r>
                    <w:rPr>
                      <w:rFonts w:hint="default" w:ascii="Times New Roman" w:hAnsi="Times New Roman" w:eastAsia="宋体" w:cs="Times New Roman"/>
                      <w:snapToGrid w:val="0"/>
                      <w:kern w:val="0"/>
                      <w:sz w:val="21"/>
                      <w:szCs w:val="21"/>
                    </w:rPr>
                    <w:t>2</w:t>
                  </w:r>
                </w:p>
              </w:tc>
              <w:tc>
                <w:tcPr>
                  <w:tcW w:w="1002" w:type="pct"/>
                  <w:vAlign w:val="center"/>
                </w:tcPr>
                <w:p>
                  <w:pPr>
                    <w:adjustRightInd w:val="0"/>
                    <w:snapToGrid w:val="0"/>
                    <w:jc w:val="center"/>
                    <w:rPr>
                      <w:rFonts w:hint="default" w:ascii="Times New Roman" w:hAnsi="Times New Roman" w:eastAsia="宋体" w:cs="Times New Roman"/>
                      <w:bCs/>
                      <w:snapToGrid w:val="0"/>
                      <w:kern w:val="0"/>
                      <w:sz w:val="21"/>
                      <w:szCs w:val="21"/>
                    </w:rPr>
                  </w:pPr>
                  <w:r>
                    <w:rPr>
                      <w:rFonts w:hint="default" w:ascii="Times New Roman" w:hAnsi="Times New Roman" w:eastAsia="宋体" w:cs="Times New Roman"/>
                      <w:snapToGrid w:val="0"/>
                      <w:kern w:val="0"/>
                      <w:sz w:val="21"/>
                      <w:szCs w:val="21"/>
                    </w:rPr>
                    <w:t>60</w:t>
                  </w:r>
                </w:p>
              </w:tc>
              <w:tc>
                <w:tcPr>
                  <w:tcW w:w="1250" w:type="pct"/>
                  <w:vAlign w:val="center"/>
                </w:tcPr>
                <w:p>
                  <w:pPr>
                    <w:adjustRightInd w:val="0"/>
                    <w:snapToGrid w:val="0"/>
                    <w:jc w:val="center"/>
                    <w:rPr>
                      <w:rFonts w:hint="default" w:ascii="Times New Roman" w:hAnsi="Times New Roman" w:eastAsia="宋体" w:cs="Times New Roman"/>
                      <w:bCs/>
                      <w:snapToGrid w:val="0"/>
                      <w:kern w:val="0"/>
                      <w:sz w:val="21"/>
                      <w:szCs w:val="21"/>
                    </w:rPr>
                  </w:pPr>
                  <w:r>
                    <w:rPr>
                      <w:rFonts w:hint="default" w:ascii="Times New Roman" w:hAnsi="Times New Roman" w:eastAsia="宋体" w:cs="Times New Roman"/>
                      <w:snapToGrid w:val="0"/>
                      <w:kern w:val="0"/>
                      <w:sz w:val="21"/>
                      <w:szCs w:val="21"/>
                    </w:rPr>
                    <w:t>50</w:t>
                  </w:r>
                </w:p>
              </w:tc>
              <w:tc>
                <w:tcPr>
                  <w:tcW w:w="2067" w:type="pct"/>
                  <w:vAlign w:val="center"/>
                </w:tcPr>
                <w:p>
                  <w:pPr>
                    <w:adjustRightInd w:val="0"/>
                    <w:snapToGrid w:val="0"/>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z w:val="21"/>
                      <w:szCs w:val="21"/>
                    </w:rPr>
                    <w:t>《南通市主城区声环境功能区划分规定（2019年修订版）》（</w:t>
                  </w:r>
                  <w:r>
                    <w:rPr>
                      <w:rFonts w:hint="default" w:ascii="Times New Roman" w:hAnsi="Times New Roman" w:eastAsia="宋体" w:cs="Times New Roman"/>
                      <w:sz w:val="21"/>
                      <w:szCs w:val="21"/>
                      <w:lang w:val="en-US" w:eastAsia="zh-CN"/>
                    </w:rPr>
                    <w:t>通政办发[2019]106号</w:t>
                  </w:r>
                  <w:r>
                    <w:rPr>
                      <w:rFonts w:hint="default" w:ascii="Times New Roman" w:hAnsi="Times New Roman" w:eastAsia="宋体" w:cs="Times New Roman"/>
                      <w:sz w:val="21"/>
                      <w:szCs w:val="21"/>
                    </w:rPr>
                    <w:t>）</w:t>
                  </w:r>
                </w:p>
              </w:tc>
            </w:tr>
          </w:tbl>
          <w:p>
            <w:pPr>
              <w:pStyle w:val="2"/>
              <w:numPr>
                <w:ilvl w:val="0"/>
                <w:numId w:val="0"/>
              </w:numPr>
              <w:spacing w:line="360" w:lineRule="auto"/>
              <w:ind w:left="0" w:leftChars="0" w:firstLine="0" w:firstLineChars="0"/>
              <w:jc w:val="both"/>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color w:val="000000"/>
                <w:sz w:val="24"/>
                <w:szCs w:val="24"/>
                <w:lang w:val="en-US" w:eastAsia="zh-CN" w:bidi="ar-SA"/>
              </w:rPr>
              <w:t>4、</w:t>
            </w:r>
            <w:r>
              <w:rPr>
                <w:rFonts w:hint="default" w:ascii="Times New Roman" w:hAnsi="Times New Roman" w:eastAsia="宋体" w:cs="Times New Roman"/>
                <w:b w:val="0"/>
                <w:bCs w:val="0"/>
                <w:sz w:val="24"/>
                <w:szCs w:val="24"/>
                <w:lang w:val="en-US" w:eastAsia="zh-CN"/>
              </w:rPr>
              <w:t>固体废弃物执行标准</w:t>
            </w:r>
          </w:p>
          <w:p>
            <w:pPr>
              <w:tabs>
                <w:tab w:val="left" w:pos="5142"/>
              </w:tabs>
              <w:adjustRightInd w:val="0"/>
              <w:snapToGrid w:val="0"/>
              <w:spacing w:line="360" w:lineRule="auto"/>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项目项目产生的一般工业固体废物贮存执行《一般工业固体废物贮存和填埋污染控制标准》（GB18599-2020），危险废物的暂存执行《危险废物贮存污染控制标准》（GB18597-2023）、《省生态环境厅关于进一步加强危险废物污染防治工作的实施意见》（苏环办[2019]327号文）中要求。</w:t>
            </w:r>
          </w:p>
          <w:p>
            <w:pPr>
              <w:tabs>
                <w:tab w:val="left" w:pos="5142"/>
              </w:tabs>
              <w:adjustRightInd w:val="0"/>
              <w:snapToGrid w:val="0"/>
              <w:spacing w:line="360" w:lineRule="auto"/>
              <w:ind w:firstLine="480" w:firstLineChars="200"/>
              <w:jc w:val="both"/>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sz w:val="24"/>
                <w:szCs w:val="24"/>
              </w:rPr>
              <w:t>生活垃圾处理执行《城市生活垃圾处理及污染防治技术政策》（建城[2000]120号）和《生活垃圾处理技术指南》（建城[2010]61号）以及国家、省市关于固体废物污染环境防治的法律法规。</w:t>
            </w:r>
          </w:p>
        </w:tc>
      </w:tr>
    </w:tbl>
    <w:p>
      <w:pPr>
        <w:rPr>
          <w:rFonts w:hint="default"/>
          <w:b/>
          <w:bCs/>
          <w:sz w:val="28"/>
          <w:szCs w:val="28"/>
          <w:lang w:val="en-US" w:eastAsia="zh-CN"/>
        </w:rPr>
      </w:pPr>
      <w:r>
        <w:rPr>
          <w:rFonts w:hint="default"/>
          <w:b/>
          <w:bCs/>
          <w:sz w:val="28"/>
          <w:szCs w:val="28"/>
          <w:lang w:val="en-US" w:eastAsia="zh-CN"/>
        </w:rPr>
        <w:br w:type="page"/>
      </w:r>
    </w:p>
    <w:p>
      <w:pPr>
        <w:pStyle w:val="4"/>
        <w:bidi w:val="0"/>
        <w:rPr>
          <w:rFonts w:hint="default" w:ascii="宋体" w:hAnsi="宋体" w:eastAsia="宋体" w:cs="宋体"/>
          <w:sz w:val="32"/>
          <w:szCs w:val="20"/>
          <w:lang w:val="en-US" w:eastAsia="zh-CN"/>
        </w:rPr>
      </w:pPr>
      <w:bookmarkStart w:id="7" w:name="_Toc7354"/>
      <w:r>
        <w:rPr>
          <w:rFonts w:hint="eastAsia" w:ascii="宋体" w:hAnsi="宋体" w:eastAsia="宋体" w:cs="宋体"/>
          <w:sz w:val="32"/>
          <w:szCs w:val="20"/>
          <w:lang w:val="en-US" w:eastAsia="zh-CN"/>
        </w:rPr>
        <w:t>表二</w:t>
      </w:r>
      <w:bookmarkEnd w:id="7"/>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tcPr>
          <w:p>
            <w:pPr>
              <w:spacing w:line="360" w:lineRule="auto"/>
              <w:rPr>
                <w:rFonts w:hint="default" w:ascii="Times New Roman" w:hAnsi="Times New Roman" w:cs="Times New Roman"/>
                <w:b/>
                <w:bCs/>
                <w:sz w:val="24"/>
                <w:szCs w:val="32"/>
                <w:vertAlign w:val="baseline"/>
                <w:lang w:val="en-US" w:eastAsia="zh-CN"/>
              </w:rPr>
            </w:pPr>
            <w:r>
              <w:rPr>
                <w:rFonts w:hint="default" w:ascii="Times New Roman" w:hAnsi="Times New Roman" w:cs="Times New Roman"/>
                <w:b/>
                <w:bCs/>
                <w:sz w:val="24"/>
                <w:szCs w:val="32"/>
                <w:vertAlign w:val="baseline"/>
                <w:lang w:val="en-US" w:eastAsia="zh-CN"/>
              </w:rPr>
              <w:t>工程建设内容</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江苏标普检测科技有限公司成立于2021年1月，法人代表为徐俊，注册地址为：江苏省南通市崇川区永兴街道永兴路218号20幢，经营范围为：许可项目；检验检测服务；室内环境检测；职业卫生技术服务；放射卫生技术服务:安全生产检验检测；辐射监测；放射性污染监测(依法须经批准的项目，经相关部门批准后方可开展经营活动，具体经营项目以审批结果为准)。一般项目：技术服务、技术开发、技术咨询、技术交流、技术转让、技术推广</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环境保护监测；生态资源监测（除依法须经批准的项目外，凭营业执照依法自主开展经营活动）。租赁南通中科科技园有限公司办公楼建筑面积约1252m</w:t>
            </w:r>
            <w:r>
              <w:rPr>
                <w:rFonts w:hint="default" w:ascii="Times New Roman" w:hAnsi="Times New Roman" w:eastAsia="宋体" w:cs="Times New Roman"/>
                <w:sz w:val="24"/>
                <w:szCs w:val="24"/>
                <w:vertAlign w:val="superscript"/>
              </w:rPr>
              <w:t>2</w:t>
            </w:r>
            <w:r>
              <w:rPr>
                <w:rFonts w:hint="default" w:ascii="Times New Roman" w:hAnsi="Times New Roman" w:eastAsia="宋体" w:cs="Times New Roman"/>
                <w:sz w:val="24"/>
                <w:szCs w:val="24"/>
              </w:rPr>
              <w:t>。</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对现有办公室进行装修改造（不涉及结构性改造，无消防及安全隐患），同时购置气相色谱仪、原子荧光光度计、气质联用仪、原子吸收光度计等配套设备共约200台/套。项目建成后，提供环境监测业务，包括土壤检测、水质检测、空气和废气检测及噪声检测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color w:val="auto"/>
                <w:sz w:val="24"/>
              </w:rPr>
            </w:pPr>
            <w:r>
              <w:rPr>
                <w:rFonts w:hint="default" w:ascii="Times New Roman" w:hAnsi="Times New Roman" w:eastAsia="宋体" w:cs="Times New Roman"/>
                <w:sz w:val="24"/>
                <w:szCs w:val="24"/>
              </w:rPr>
              <w:t>为进一步做好该项目的环境保护工作，科学客观地评价项目运营对周围环境的影响，依据《</w:t>
            </w:r>
            <w:r>
              <w:rPr>
                <w:rFonts w:hint="default" w:ascii="Times New Roman" w:hAnsi="Times New Roman" w:eastAsia="宋体" w:cs="Times New Roman"/>
                <w:color w:val="auto"/>
                <w:sz w:val="24"/>
                <w:lang w:val="en-US" w:eastAsia="zh-CN"/>
              </w:rPr>
              <w:t>中华人民共和国环境保护法</w:t>
            </w:r>
            <w:r>
              <w:rPr>
                <w:rFonts w:hint="default" w:ascii="Times New Roman" w:hAnsi="Times New Roman" w:eastAsia="宋体" w:cs="Times New Roman"/>
                <w:sz w:val="24"/>
                <w:szCs w:val="24"/>
              </w:rPr>
              <w:t>》和《建设项目环境保护管理条例》（中华人民共和国国务院令第682号）及《建设项目环境影响评价分类管理名录》（2021年版）中</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四十五、研究和试验发展98专业实验室、研发（试验）基地；其他（不产生实验废气、废水、危险废物的除外）</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，应编制环境影响报告表。</w:t>
            </w:r>
            <w:r>
              <w:rPr>
                <w:rFonts w:hint="default" w:ascii="Times New Roman" w:hAnsi="Times New Roman" w:eastAsia="宋体" w:cs="Times New Roman"/>
                <w:color w:val="auto"/>
                <w:sz w:val="24"/>
                <w:lang w:val="en-US" w:eastAsia="zh-CN"/>
              </w:rPr>
              <w:t>本项目于2023年6月9日获</w:t>
            </w:r>
            <w:r>
              <w:rPr>
                <w:rFonts w:hint="default" w:ascii="Times New Roman" w:hAnsi="Times New Roman" w:eastAsia="宋体" w:cs="Times New Roman"/>
                <w:sz w:val="24"/>
                <w:szCs w:val="24"/>
              </w:rPr>
              <w:t>南通市崇川区行政审批局</w:t>
            </w:r>
            <w:r>
              <w:rPr>
                <w:rFonts w:hint="default"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批</w:t>
            </w:r>
            <w:r>
              <w:rPr>
                <w:rFonts w:hint="default" w:ascii="Times New Roman" w:hAnsi="Times New Roman" w:eastAsia="宋体" w:cs="Times New Roman"/>
                <w:sz w:val="24"/>
                <w:szCs w:val="24"/>
                <w:lang w:val="en-US" w:eastAsia="zh-CN"/>
              </w:rPr>
              <w:t>文号：</w:t>
            </w:r>
            <w:r>
              <w:rPr>
                <w:rFonts w:hint="default" w:ascii="Times New Roman" w:hAnsi="Times New Roman" w:eastAsia="宋体" w:cs="Times New Roman"/>
                <w:sz w:val="24"/>
                <w:szCs w:val="24"/>
              </w:rPr>
              <w:t>崇川行审备〔202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号</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color w:val="auto"/>
                <w:sz w:val="24"/>
                <w:lang w:val="en-US" w:eastAsia="zh-CN"/>
              </w:rPr>
              <w:t>。目前</w:t>
            </w:r>
            <w:r>
              <w:rPr>
                <w:rFonts w:hint="default" w:ascii="Times New Roman" w:hAnsi="Times New Roman" w:cs="Times New Roman"/>
                <w:b w:val="0"/>
                <w:bCs w:val="0"/>
                <w:color w:val="auto"/>
                <w:sz w:val="24"/>
              </w:rPr>
              <w:t>现该项目生产设施和配套的环保设施运行正常，</w:t>
            </w:r>
            <w:r>
              <w:rPr>
                <w:rFonts w:hint="eastAsia" w:ascii="Times New Roman" w:hAnsi="Times New Roman" w:cs="Times New Roman"/>
                <w:b w:val="0"/>
                <w:bCs w:val="0"/>
                <w:color w:val="auto"/>
                <w:sz w:val="24"/>
                <w:lang w:val="en-US" w:eastAsia="zh-CN"/>
              </w:rPr>
              <w:t>本次验收范围：《江苏标普检测科技有限公司新建实验室项目环境影响报告表》及其环评批复</w:t>
            </w:r>
            <w:r>
              <w:rPr>
                <w:rFonts w:hint="default" w:ascii="Times New Roman" w:hAnsi="Times New Roman" w:eastAsia="宋体" w:cs="Times New Roman"/>
                <w:sz w:val="24"/>
                <w:szCs w:val="24"/>
              </w:rPr>
              <w:t>崇行审</w:t>
            </w:r>
            <w:r>
              <w:rPr>
                <w:rFonts w:hint="eastAsia" w:ascii="Times New Roman" w:hAnsi="Times New Roman" w:eastAsia="宋体" w:cs="Times New Roman"/>
                <w:sz w:val="24"/>
                <w:szCs w:val="24"/>
                <w:lang w:val="en-US" w:eastAsia="zh-CN"/>
              </w:rPr>
              <w:t>批2</w:t>
            </w:r>
            <w:r>
              <w:rPr>
                <w:rFonts w:hint="default"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号</w:t>
            </w:r>
            <w:r>
              <w:rPr>
                <w:rFonts w:hint="eastAsia" w:ascii="Times New Roman" w:hAnsi="Times New Roman" w:eastAsia="宋体" w:cs="Times New Roman"/>
                <w:sz w:val="24"/>
                <w:szCs w:val="24"/>
                <w:lang w:val="en-US" w:eastAsia="zh-CN"/>
              </w:rPr>
              <w:t>中的主要建设内容及要求配套建设的环境保护设施</w:t>
            </w:r>
            <w:r>
              <w:rPr>
                <w:rFonts w:hint="default" w:ascii="Times New Roman" w:hAnsi="Times New Roman" w:cs="Times New Roman"/>
                <w:b w:val="0"/>
                <w:bCs w:val="0"/>
                <w:color w:val="auto"/>
                <w:sz w:val="24"/>
              </w:rPr>
              <w:t>。</w:t>
            </w:r>
          </w:p>
          <w:p>
            <w:pPr>
              <w:spacing w:line="360" w:lineRule="auto"/>
              <w:rPr>
                <w:rFonts w:hint="default" w:ascii="Times New Roman" w:hAnsi="Times New Roman" w:cs="Times New Roman"/>
                <w:b/>
                <w:bCs/>
                <w:sz w:val="24"/>
                <w:szCs w:val="32"/>
                <w:lang w:val="en-US" w:eastAsia="zh-CN"/>
              </w:rPr>
            </w:pPr>
            <w:r>
              <w:rPr>
                <w:rFonts w:hint="default" w:ascii="Times New Roman" w:hAnsi="Times New Roman" w:cs="Times New Roman"/>
                <w:b/>
                <w:bCs/>
                <w:sz w:val="24"/>
                <w:szCs w:val="32"/>
                <w:lang w:val="en-US" w:eastAsia="zh-CN"/>
              </w:rPr>
              <w:t>项目概况</w:t>
            </w:r>
          </w:p>
          <w:p>
            <w:pPr>
              <w:adjustRightInd w:val="0"/>
              <w:snapToGrid w:val="0"/>
              <w:spacing w:line="36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项目名称：江苏标普检测科技有限公司新建实验室项目</w:t>
            </w:r>
          </w:p>
          <w:p>
            <w:pPr>
              <w:adjustRightInd w:val="0"/>
              <w:snapToGrid w:val="0"/>
              <w:spacing w:line="36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建设单位：江苏标普检测科技有限公司</w:t>
            </w:r>
          </w:p>
          <w:p>
            <w:pPr>
              <w:adjustRightInd w:val="0"/>
              <w:snapToGrid w:val="0"/>
              <w:spacing w:line="36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建设性质：新建</w:t>
            </w:r>
          </w:p>
          <w:p>
            <w:pPr>
              <w:adjustRightInd w:val="0"/>
              <w:snapToGrid w:val="0"/>
              <w:spacing w:line="36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建设地点：江苏省南通市崇川区永兴街道永兴路218号20幢</w:t>
            </w:r>
          </w:p>
          <w:p>
            <w:pPr>
              <w:adjustRightInd w:val="0"/>
              <w:snapToGrid w:val="0"/>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总投资：1000万元</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其中环保投资2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万元</w:t>
            </w:r>
          </w:p>
          <w:p>
            <w:pPr>
              <w:adjustRightInd w:val="0"/>
              <w:snapToGrid w:val="0"/>
              <w:spacing w:line="36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工作制度：本项目采用1班制，工作8h</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本项目年工作日250天，年工作时间2000小时。</w:t>
            </w:r>
          </w:p>
          <w:p>
            <w:pPr>
              <w:pStyle w:val="23"/>
              <w:widowControl w:val="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主体工厂及产品方案详见表。</w:t>
            </w:r>
          </w:p>
          <w:p>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表2-1  建设项目主体工程</w:t>
            </w:r>
          </w:p>
          <w:tbl>
            <w:tblPr>
              <w:tblStyle w:val="20"/>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52"/>
              <w:gridCol w:w="480"/>
              <w:gridCol w:w="1299"/>
              <w:gridCol w:w="1959"/>
              <w:gridCol w:w="1493"/>
              <w:gridCol w:w="262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Align w:val="center"/>
                </w:tcPr>
                <w:p>
                  <w:pPr>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类别</w:t>
                  </w:r>
                </w:p>
              </w:tc>
              <w:tc>
                <w:tcPr>
                  <w:tcW w:w="1071" w:type="pct"/>
                  <w:gridSpan w:val="2"/>
                  <w:vAlign w:val="center"/>
                </w:tcPr>
                <w:p>
                  <w:pPr>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建设名称</w:t>
                  </w:r>
                </w:p>
              </w:tc>
              <w:tc>
                <w:tcPr>
                  <w:tcW w:w="1179" w:type="pct"/>
                  <w:vAlign w:val="center"/>
                </w:tcPr>
                <w:p>
                  <w:pPr>
                    <w:jc w:val="center"/>
                    <w:rPr>
                      <w:rFonts w:hint="default" w:ascii="Times New Roman" w:hAnsi="Times New Roman" w:eastAsia="宋体" w:cs="Times New Roman"/>
                      <w:b/>
                      <w:sz w:val="21"/>
                      <w:szCs w:val="21"/>
                    </w:rPr>
                  </w:pPr>
                  <w:r>
                    <w:rPr>
                      <w:rFonts w:hint="eastAsia" w:ascii="Times New Roman" w:hAnsi="Times New Roman" w:eastAsia="宋体" w:cs="Times New Roman"/>
                      <w:b/>
                      <w:sz w:val="21"/>
                      <w:szCs w:val="21"/>
                      <w:lang w:val="en-US" w:eastAsia="zh-CN"/>
                    </w:rPr>
                    <w:t>环评</w:t>
                  </w:r>
                  <w:r>
                    <w:rPr>
                      <w:rFonts w:hint="default" w:ascii="Times New Roman" w:hAnsi="Times New Roman" w:eastAsia="宋体" w:cs="Times New Roman"/>
                      <w:b/>
                      <w:sz w:val="21"/>
                      <w:szCs w:val="21"/>
                    </w:rPr>
                    <w:t>设计能力</w:t>
                  </w:r>
                </w:p>
              </w:tc>
              <w:tc>
                <w:tcPr>
                  <w:tcW w:w="899" w:type="pct"/>
                  <w:vAlign w:val="center"/>
                </w:tcPr>
                <w:p>
                  <w:pPr>
                    <w:jc w:val="center"/>
                    <w:rPr>
                      <w:rFonts w:hint="default" w:ascii="Times New Roman" w:hAnsi="Times New Roman" w:eastAsia="宋体" w:cs="Times New Roman"/>
                      <w:b/>
                      <w:sz w:val="21"/>
                      <w:szCs w:val="21"/>
                      <w:lang w:val="en-US" w:eastAsia="zh-CN"/>
                    </w:rPr>
                  </w:pPr>
                  <w:r>
                    <w:rPr>
                      <w:rFonts w:hint="eastAsia" w:ascii="Times New Roman" w:hAnsi="Times New Roman" w:eastAsia="宋体" w:cs="Times New Roman"/>
                      <w:b/>
                      <w:sz w:val="21"/>
                      <w:szCs w:val="21"/>
                      <w:lang w:val="en-US" w:eastAsia="zh-CN"/>
                    </w:rPr>
                    <w:t>实际建设情况</w:t>
                  </w:r>
                </w:p>
              </w:tc>
              <w:tc>
                <w:tcPr>
                  <w:tcW w:w="1577" w:type="pct"/>
                  <w:vAlign w:val="center"/>
                </w:tcPr>
                <w:p>
                  <w:pPr>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restart"/>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w:t>
                  </w:r>
                </w:p>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体</w:t>
                  </w:r>
                </w:p>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工</w:t>
                  </w:r>
                </w:p>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程</w:t>
                  </w:r>
                </w:p>
              </w:tc>
              <w:tc>
                <w:tcPr>
                  <w:tcW w:w="1071" w:type="pct"/>
                  <w:gridSpan w:val="2"/>
                  <w:vAlign w:val="center"/>
                </w:tcPr>
                <w:p>
                  <w:pPr>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化学检验室</w:t>
                  </w:r>
                </w:p>
              </w:tc>
              <w:tc>
                <w:tcPr>
                  <w:tcW w:w="1179" w:type="pct"/>
                  <w:vAlign w:val="center"/>
                </w:tcPr>
                <w:p>
                  <w:pPr>
                    <w:tabs>
                      <w:tab w:val="left" w:pos="5580"/>
                    </w:tabs>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338.4m</w:t>
                  </w:r>
                  <w:r>
                    <w:rPr>
                      <w:rFonts w:hint="default" w:ascii="Times New Roman" w:hAnsi="Times New Roman" w:eastAsia="宋体" w:cs="Times New Roman"/>
                      <w:sz w:val="21"/>
                      <w:szCs w:val="21"/>
                      <w:vertAlign w:val="superscript"/>
                    </w:rPr>
                    <w:t>2</w:t>
                  </w:r>
                </w:p>
              </w:tc>
              <w:tc>
                <w:tcPr>
                  <w:tcW w:w="899" w:type="pct"/>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201.8</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577"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主要包括前处理室、理化室实验室、待检样品室等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仪器分析室</w:t>
                  </w:r>
                </w:p>
              </w:tc>
              <w:tc>
                <w:tcPr>
                  <w:tcW w:w="1179" w:type="pct"/>
                  <w:vAlign w:val="center"/>
                </w:tcPr>
                <w:p>
                  <w:pPr>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313.3m</w:t>
                  </w:r>
                  <w:r>
                    <w:rPr>
                      <w:rFonts w:hint="default" w:ascii="Times New Roman" w:hAnsi="Times New Roman" w:eastAsia="宋体" w:cs="Times New Roman"/>
                      <w:sz w:val="21"/>
                      <w:szCs w:val="21"/>
                      <w:vertAlign w:val="superscript"/>
                    </w:rPr>
                    <w:t>2</w:t>
                  </w:r>
                </w:p>
              </w:tc>
              <w:tc>
                <w:tcPr>
                  <w:tcW w:w="899" w:type="pct"/>
                  <w:vAlign w:val="center"/>
                </w:tcPr>
                <w:p>
                  <w:pPr>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211.5</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577"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主要包括液相、离子色谱室、气相、气质室等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办公室</w:t>
                  </w:r>
                </w:p>
              </w:tc>
              <w:tc>
                <w:tcPr>
                  <w:tcW w:w="1179" w:type="pct"/>
                  <w:vAlign w:val="center"/>
                </w:tcPr>
                <w:p>
                  <w:pPr>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350m</w:t>
                  </w:r>
                  <w:r>
                    <w:rPr>
                      <w:rFonts w:hint="default" w:ascii="Times New Roman" w:hAnsi="Times New Roman" w:eastAsia="宋体" w:cs="Times New Roman"/>
                      <w:sz w:val="21"/>
                      <w:szCs w:val="21"/>
                      <w:vertAlign w:val="superscript"/>
                    </w:rPr>
                    <w:t>2</w:t>
                  </w:r>
                </w:p>
              </w:tc>
              <w:tc>
                <w:tcPr>
                  <w:tcW w:w="89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350m</w:t>
                  </w:r>
                  <w:r>
                    <w:rPr>
                      <w:rFonts w:hint="default" w:ascii="Times New Roman" w:hAnsi="Times New Roman" w:eastAsia="宋体" w:cs="Times New Roman"/>
                      <w:sz w:val="21"/>
                      <w:szCs w:val="21"/>
                      <w:vertAlign w:val="superscript"/>
                    </w:rPr>
                    <w:t>2</w:t>
                  </w:r>
                </w:p>
              </w:tc>
              <w:tc>
                <w:tcPr>
                  <w:tcW w:w="1577"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主要包括办公以及业务接待室</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微生物实验室</w:t>
                  </w:r>
                </w:p>
              </w:tc>
              <w:tc>
                <w:tcPr>
                  <w:tcW w:w="1179" w:type="pct"/>
                  <w:vAlign w:val="center"/>
                </w:tcPr>
                <w:p>
                  <w:pPr>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28.73</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899" w:type="pct"/>
                  <w:vAlign w:val="center"/>
                </w:tcPr>
                <w:p>
                  <w:pPr>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28.73</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577"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包括准备室、培养室、微生物实验室等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臭气实验室</w:t>
                  </w:r>
                </w:p>
              </w:tc>
              <w:tc>
                <w:tcPr>
                  <w:tcW w:w="1179" w:type="pct"/>
                  <w:vAlign w:val="center"/>
                </w:tcPr>
                <w:p>
                  <w:pPr>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33.86</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899" w:type="pct"/>
                  <w:vAlign w:val="center"/>
                </w:tcPr>
                <w:p>
                  <w:pPr>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33.86</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577"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采样设备间</w:t>
                  </w:r>
                </w:p>
              </w:tc>
              <w:tc>
                <w:tcPr>
                  <w:tcW w:w="1179" w:type="pct"/>
                  <w:vAlign w:val="center"/>
                </w:tcPr>
                <w:p>
                  <w:pPr>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15</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899" w:type="pct"/>
                  <w:vAlign w:val="center"/>
                </w:tcPr>
                <w:p>
                  <w:pPr>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15</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577"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restart"/>
                  <w:tcMar>
                    <w:left w:w="28" w:type="dxa"/>
                    <w:right w:w="28" w:type="dxa"/>
                  </w:tcMar>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贮运工程</w:t>
                  </w:r>
                </w:p>
              </w:tc>
              <w:tc>
                <w:tcPr>
                  <w:tcW w:w="1071" w:type="pct"/>
                  <w:gridSpan w:val="2"/>
                  <w:tcMar>
                    <w:left w:w="28" w:type="dxa"/>
                    <w:right w:w="28" w:type="dxa"/>
                  </w:tcMar>
                  <w:vAlign w:val="center"/>
                </w:tcPr>
                <w:p>
                  <w:pPr>
                    <w:adjustRightInd w:val="0"/>
                    <w:snapToGrid w:val="0"/>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试剂仓库</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6.55m</w:t>
                  </w:r>
                  <w:r>
                    <w:rPr>
                      <w:rFonts w:hint="default" w:ascii="Times New Roman" w:hAnsi="Times New Roman" w:eastAsia="宋体" w:cs="Times New Roman"/>
                      <w:sz w:val="21"/>
                      <w:szCs w:val="21"/>
                      <w:vertAlign w:val="superscript"/>
                    </w:rPr>
                    <w:t>2</w:t>
                  </w:r>
                </w:p>
              </w:tc>
              <w:tc>
                <w:tcPr>
                  <w:tcW w:w="899" w:type="pct"/>
                  <w:tcMar>
                    <w:left w:w="28" w:type="dxa"/>
                    <w:right w:w="28" w:type="dxa"/>
                  </w:tcMar>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6.55m</w:t>
                  </w:r>
                  <w:r>
                    <w:rPr>
                      <w:rFonts w:hint="default" w:ascii="Times New Roman" w:hAnsi="Times New Roman" w:eastAsia="宋体" w:cs="Times New Roman"/>
                      <w:sz w:val="21"/>
                      <w:szCs w:val="21"/>
                      <w:vertAlign w:val="superscript"/>
                    </w:rPr>
                    <w:t>2</w:t>
                  </w:r>
                </w:p>
              </w:tc>
              <w:tc>
                <w:tcPr>
                  <w:tcW w:w="1577" w:type="pct"/>
                  <w:tcMar>
                    <w:left w:w="28" w:type="dxa"/>
                    <w:right w:w="28"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位于实验室3楼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tcMar>
                    <w:left w:w="28" w:type="dxa"/>
                    <w:right w:w="28" w:type="dxa"/>
                  </w:tcMar>
                  <w:vAlign w:val="center"/>
                </w:tcPr>
                <w:p>
                  <w:pPr>
                    <w:jc w:val="center"/>
                    <w:rPr>
                      <w:rFonts w:hint="default" w:ascii="Times New Roman" w:hAnsi="Times New Roman" w:eastAsia="宋体" w:cs="Times New Roman"/>
                      <w:sz w:val="21"/>
                      <w:szCs w:val="21"/>
                    </w:rPr>
                  </w:pPr>
                </w:p>
              </w:tc>
              <w:tc>
                <w:tcPr>
                  <w:tcW w:w="1071" w:type="pct"/>
                  <w:gridSpan w:val="2"/>
                  <w:tcMar>
                    <w:left w:w="28" w:type="dxa"/>
                    <w:right w:w="28" w:type="dxa"/>
                  </w:tcMar>
                  <w:vAlign w:val="center"/>
                </w:tcPr>
                <w:p>
                  <w:pPr>
                    <w:adjustRightInd w:val="0"/>
                    <w:snapToGrid w:val="0"/>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气瓶室</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13.01m</w:t>
                  </w:r>
                  <w:r>
                    <w:rPr>
                      <w:rFonts w:hint="default" w:ascii="Times New Roman" w:hAnsi="Times New Roman" w:eastAsia="宋体" w:cs="Times New Roman"/>
                      <w:sz w:val="21"/>
                      <w:szCs w:val="21"/>
                      <w:vertAlign w:val="superscript"/>
                    </w:rPr>
                    <w:t>2</w:t>
                  </w:r>
                </w:p>
              </w:tc>
              <w:tc>
                <w:tcPr>
                  <w:tcW w:w="899" w:type="pct"/>
                  <w:tcMar>
                    <w:left w:w="28" w:type="dxa"/>
                    <w:right w:w="28" w:type="dxa"/>
                  </w:tcMar>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13m</w:t>
                  </w:r>
                  <w:r>
                    <w:rPr>
                      <w:rFonts w:hint="default" w:ascii="Times New Roman" w:hAnsi="Times New Roman" w:eastAsia="宋体" w:cs="Times New Roman"/>
                      <w:sz w:val="21"/>
                      <w:szCs w:val="21"/>
                      <w:vertAlign w:val="superscript"/>
                    </w:rPr>
                    <w:t>2</w:t>
                  </w:r>
                </w:p>
              </w:tc>
              <w:tc>
                <w:tcPr>
                  <w:tcW w:w="1577" w:type="pct"/>
                  <w:tcMar>
                    <w:left w:w="28" w:type="dxa"/>
                    <w:right w:w="28"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位于实验室3楼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tcMar>
                    <w:left w:w="28" w:type="dxa"/>
                    <w:right w:w="28" w:type="dxa"/>
                  </w:tcMar>
                  <w:vAlign w:val="center"/>
                </w:tcPr>
                <w:p>
                  <w:pPr>
                    <w:jc w:val="center"/>
                    <w:rPr>
                      <w:rFonts w:hint="default" w:ascii="Times New Roman" w:hAnsi="Times New Roman" w:eastAsia="宋体" w:cs="Times New Roman"/>
                      <w:sz w:val="21"/>
                      <w:szCs w:val="21"/>
                    </w:rPr>
                  </w:pPr>
                </w:p>
              </w:tc>
              <w:tc>
                <w:tcPr>
                  <w:tcW w:w="1071" w:type="pct"/>
                  <w:gridSpan w:val="2"/>
                  <w:tcMar>
                    <w:left w:w="28" w:type="dxa"/>
                    <w:right w:w="28" w:type="dxa"/>
                  </w:tcMar>
                  <w:vAlign w:val="center"/>
                </w:tcPr>
                <w:p>
                  <w:pPr>
                    <w:adjustRightInd w:val="0"/>
                    <w:snapToGrid w:val="0"/>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易制毒易制爆室</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5.59m</w:t>
                  </w:r>
                  <w:r>
                    <w:rPr>
                      <w:rFonts w:hint="default" w:ascii="Times New Roman" w:hAnsi="Times New Roman" w:eastAsia="宋体" w:cs="Times New Roman"/>
                      <w:sz w:val="21"/>
                      <w:szCs w:val="21"/>
                      <w:vertAlign w:val="superscript"/>
                    </w:rPr>
                    <w:t>2</w:t>
                  </w:r>
                </w:p>
              </w:tc>
              <w:tc>
                <w:tcPr>
                  <w:tcW w:w="899" w:type="pct"/>
                  <w:tcMar>
                    <w:left w:w="28" w:type="dxa"/>
                    <w:right w:w="28" w:type="dxa"/>
                  </w:tcMar>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5.59m</w:t>
                  </w:r>
                  <w:r>
                    <w:rPr>
                      <w:rFonts w:hint="default" w:ascii="Times New Roman" w:hAnsi="Times New Roman" w:eastAsia="宋体" w:cs="Times New Roman"/>
                      <w:sz w:val="21"/>
                      <w:szCs w:val="21"/>
                      <w:vertAlign w:val="superscript"/>
                    </w:rPr>
                    <w:t>2</w:t>
                  </w:r>
                </w:p>
              </w:tc>
              <w:tc>
                <w:tcPr>
                  <w:tcW w:w="1577" w:type="pct"/>
                  <w:tcMar>
                    <w:left w:w="28" w:type="dxa"/>
                    <w:right w:w="28"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位于实验室3楼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tcMar>
                    <w:left w:w="28" w:type="dxa"/>
                    <w:right w:w="28" w:type="dxa"/>
                  </w:tcMar>
                  <w:vAlign w:val="center"/>
                </w:tcPr>
                <w:p>
                  <w:pPr>
                    <w:jc w:val="center"/>
                    <w:rPr>
                      <w:rFonts w:hint="default" w:ascii="Times New Roman" w:hAnsi="Times New Roman" w:eastAsia="宋体" w:cs="Times New Roman"/>
                      <w:sz w:val="21"/>
                      <w:szCs w:val="21"/>
                    </w:rPr>
                  </w:pPr>
                </w:p>
              </w:tc>
              <w:tc>
                <w:tcPr>
                  <w:tcW w:w="1071" w:type="pct"/>
                  <w:gridSpan w:val="2"/>
                  <w:tcMar>
                    <w:left w:w="28" w:type="dxa"/>
                    <w:right w:w="28"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运输</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99" w:type="pct"/>
                  <w:tcMar>
                    <w:left w:w="28" w:type="dxa"/>
                    <w:right w:w="28" w:type="dxa"/>
                  </w:tcMar>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c>
                <w:tcPr>
                  <w:tcW w:w="1577" w:type="pct"/>
                  <w:tcMar>
                    <w:left w:w="28" w:type="dxa"/>
                    <w:right w:w="28"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zh-CN"/>
                    </w:rPr>
                    <w:t>汽运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50" w:hRule="atLeast"/>
              </w:trPr>
              <w:tc>
                <w:tcPr>
                  <w:tcW w:w="272" w:type="pct"/>
                  <w:vMerge w:val="restar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w:t>
                  </w:r>
                </w:p>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用</w:t>
                  </w:r>
                </w:p>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工</w:t>
                  </w:r>
                </w:p>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程</w:t>
                  </w:r>
                </w:p>
              </w:tc>
              <w:tc>
                <w:tcPr>
                  <w:tcW w:w="1071" w:type="pct"/>
                  <w:gridSpan w:val="2"/>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给水</w:t>
                  </w:r>
                </w:p>
              </w:tc>
              <w:tc>
                <w:tcPr>
                  <w:tcW w:w="1179" w:type="pct"/>
                  <w:vAlign w:val="center"/>
                </w:tcPr>
                <w:p>
                  <w:pPr>
                    <w:jc w:val="center"/>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rPr>
                    <w:t>452.6</w:t>
                  </w:r>
                  <w:r>
                    <w:rPr>
                      <w:rFonts w:hint="default" w:ascii="Times New Roman" w:hAnsi="Times New Roman" w:eastAsia="宋体" w:cs="Times New Roman"/>
                      <w:sz w:val="21"/>
                      <w:szCs w:val="21"/>
                      <w:lang w:val="zh-CN"/>
                    </w:rPr>
                    <w:t>t/a</w:t>
                  </w:r>
                </w:p>
              </w:tc>
              <w:tc>
                <w:tcPr>
                  <w:tcW w:w="899" w:type="pct"/>
                  <w:tcMar>
                    <w:left w:w="0" w:type="dxa"/>
                    <w:right w:w="0" w:type="dxa"/>
                  </w:tcMar>
                  <w:vAlign w:val="center"/>
                </w:tcPr>
                <w:p>
                  <w:pPr>
                    <w:jc w:val="center"/>
                    <w:rPr>
                      <w:rFonts w:hint="default" w:ascii="Times New Roman" w:hAnsi="Times New Roman" w:eastAsia="宋体" w:cs="Times New Roman"/>
                      <w:kern w:val="2"/>
                      <w:sz w:val="21"/>
                      <w:szCs w:val="21"/>
                      <w:lang w:val="zh-CN" w:eastAsia="zh-CN" w:bidi="ar-SA"/>
                    </w:rPr>
                  </w:pPr>
                  <w:r>
                    <w:rPr>
                      <w:rFonts w:hint="default" w:ascii="Times New Roman" w:hAnsi="Times New Roman" w:eastAsia="宋体" w:cs="Times New Roman"/>
                      <w:sz w:val="21"/>
                      <w:szCs w:val="21"/>
                    </w:rPr>
                    <w:t>452.6</w:t>
                  </w:r>
                  <w:r>
                    <w:rPr>
                      <w:rFonts w:hint="default" w:ascii="Times New Roman" w:hAnsi="Times New Roman" w:eastAsia="宋体" w:cs="Times New Roman"/>
                      <w:sz w:val="21"/>
                      <w:szCs w:val="21"/>
                      <w:lang w:val="zh-CN"/>
                    </w:rPr>
                    <w:t>t/a</w:t>
                  </w:r>
                </w:p>
              </w:tc>
              <w:tc>
                <w:tcPr>
                  <w:tcW w:w="1577" w:type="pct"/>
                  <w:tcMar>
                    <w:left w:w="0" w:type="dxa"/>
                    <w:right w:w="0" w:type="dxa"/>
                  </w:tcMar>
                  <w:vAlign w:val="center"/>
                </w:tcPr>
                <w:p>
                  <w:pPr>
                    <w:jc w:val="center"/>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来自当地市政自来水管网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排水</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355.35t/a</w:t>
                  </w:r>
                </w:p>
              </w:tc>
              <w:tc>
                <w:tcPr>
                  <w:tcW w:w="899" w:type="pct"/>
                  <w:tcMar>
                    <w:left w:w="0" w:type="dxa"/>
                    <w:right w:w="0" w:type="dxa"/>
                  </w:tcMar>
                  <w:vAlign w:val="center"/>
                </w:tcPr>
                <w:p>
                  <w:pPr>
                    <w:jc w:val="center"/>
                    <w:rPr>
                      <w:rFonts w:hint="default" w:ascii="Times New Roman" w:hAnsi="Times New Roman" w:eastAsia="宋体" w:cs="Times New Roman"/>
                      <w:kern w:val="2"/>
                      <w:sz w:val="21"/>
                      <w:szCs w:val="21"/>
                      <w:lang w:val="zh-CN" w:eastAsia="zh-CN" w:bidi="ar-SA"/>
                    </w:rPr>
                  </w:pPr>
                  <w:r>
                    <w:rPr>
                      <w:rFonts w:hint="default" w:ascii="Times New Roman" w:hAnsi="Times New Roman" w:eastAsia="宋体" w:cs="Times New Roman"/>
                      <w:sz w:val="21"/>
                      <w:szCs w:val="21"/>
                    </w:rPr>
                    <w:t>355.35t/a</w:t>
                  </w:r>
                </w:p>
              </w:tc>
              <w:tc>
                <w:tcPr>
                  <w:tcW w:w="1577" w:type="pct"/>
                  <w:tcMar>
                    <w:left w:w="0" w:type="dxa"/>
                    <w:right w:w="0" w:type="dxa"/>
                  </w:tcMar>
                  <w:vAlign w:val="center"/>
                </w:tcPr>
                <w:p>
                  <w:pPr>
                    <w:jc w:val="center"/>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接管至南通市东港排水有限公司</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供电</w:t>
                  </w:r>
                </w:p>
              </w:tc>
              <w:tc>
                <w:tcPr>
                  <w:tcW w:w="1179" w:type="pct"/>
                  <w:vAlign w:val="center"/>
                </w:tcPr>
                <w:p>
                  <w:pPr>
                    <w:jc w:val="center"/>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lang w:val="zh-CN"/>
                    </w:rPr>
                    <w:t>万度/年</w:t>
                  </w:r>
                </w:p>
              </w:tc>
              <w:tc>
                <w:tcPr>
                  <w:tcW w:w="899" w:type="pct"/>
                  <w:tcMar>
                    <w:left w:w="0" w:type="dxa"/>
                    <w:right w:w="0" w:type="dxa"/>
                  </w:tcMar>
                  <w:vAlign w:val="center"/>
                </w:tcPr>
                <w:p>
                  <w:pPr>
                    <w:jc w:val="center"/>
                    <w:rPr>
                      <w:rFonts w:hint="default" w:ascii="Times New Roman" w:hAnsi="Times New Roman" w:eastAsia="宋体" w:cs="Times New Roman"/>
                      <w:kern w:val="2"/>
                      <w:sz w:val="21"/>
                      <w:szCs w:val="21"/>
                      <w:lang w:val="zh-CN" w:eastAsia="zh-CN" w:bidi="ar-SA"/>
                    </w:rPr>
                  </w:pP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lang w:val="zh-CN"/>
                    </w:rPr>
                    <w:t>万度/年</w:t>
                  </w:r>
                </w:p>
              </w:tc>
              <w:tc>
                <w:tcPr>
                  <w:tcW w:w="1577" w:type="pct"/>
                  <w:tcMar>
                    <w:left w:w="0" w:type="dxa"/>
                    <w:right w:w="0"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zh-CN"/>
                    </w:rPr>
                    <w:t>来自当地市政电网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超纯水机</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1台，0.03t/h</w:t>
                  </w:r>
                </w:p>
              </w:tc>
              <w:tc>
                <w:tcPr>
                  <w:tcW w:w="899" w:type="pct"/>
                  <w:tcMar>
                    <w:left w:w="0" w:type="dxa"/>
                    <w:right w:w="0" w:type="dxa"/>
                  </w:tcMar>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1台，0.03t/h</w:t>
                  </w:r>
                </w:p>
              </w:tc>
              <w:tc>
                <w:tcPr>
                  <w:tcW w:w="1577" w:type="pct"/>
                  <w:tcMar>
                    <w:left w:w="0" w:type="dxa"/>
                    <w:right w:w="0"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用于制备去离子水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空气压缩机</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1台，58L/min</w:t>
                  </w:r>
                </w:p>
              </w:tc>
              <w:tc>
                <w:tcPr>
                  <w:tcW w:w="899" w:type="pct"/>
                  <w:tcMar>
                    <w:left w:w="0" w:type="dxa"/>
                    <w:right w:w="0" w:type="dxa"/>
                  </w:tcMar>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1台，58L/min</w:t>
                  </w:r>
                </w:p>
              </w:tc>
              <w:tc>
                <w:tcPr>
                  <w:tcW w:w="1577" w:type="pct"/>
                  <w:tcMar>
                    <w:left w:w="0" w:type="dxa"/>
                    <w:right w:w="0"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原子吸收光度计配备空气压缩机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1071" w:type="pct"/>
                  <w:gridSpan w:val="2"/>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绿化</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99" w:type="pct"/>
                  <w:tcMar>
                    <w:left w:w="0" w:type="dxa"/>
                    <w:right w:w="0" w:type="dxa"/>
                  </w:tcMar>
                  <w:vAlign w:val="center"/>
                </w:tcPr>
                <w:p>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w:t>
                  </w:r>
                </w:p>
              </w:tc>
              <w:tc>
                <w:tcPr>
                  <w:tcW w:w="1577" w:type="pct"/>
                  <w:tcMar>
                    <w:left w:w="0" w:type="dxa"/>
                    <w:right w:w="0"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依托园区现有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restar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环</w:t>
                  </w:r>
                </w:p>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保</w:t>
                  </w:r>
                </w:p>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工</w:t>
                  </w:r>
                </w:p>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程</w:t>
                  </w:r>
                </w:p>
              </w:tc>
              <w:tc>
                <w:tcPr>
                  <w:tcW w:w="289" w:type="pct"/>
                  <w:vMerge w:val="restar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废气</w:t>
                  </w:r>
                </w:p>
              </w:tc>
              <w:tc>
                <w:tcPr>
                  <w:tcW w:w="782" w:type="pct"/>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通风橱</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共7座</w:t>
                  </w:r>
                </w:p>
              </w:tc>
              <w:tc>
                <w:tcPr>
                  <w:tcW w:w="899" w:type="pct"/>
                  <w:tcMar>
                    <w:left w:w="0" w:type="dxa"/>
                    <w:right w:w="0" w:type="dxa"/>
                  </w:tcMar>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7座</w:t>
                  </w:r>
                </w:p>
              </w:tc>
              <w:tc>
                <w:tcPr>
                  <w:tcW w:w="1577" w:type="pct"/>
                  <w:vMerge w:val="restart"/>
                  <w:tcMar>
                    <w:left w:w="0" w:type="dxa"/>
                    <w:right w:w="0"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大气污染物氮氧化物、氯化氢、硫酸雾、非甲烷总烃排放执行《大气污染物综合排放标准》（DB32/4041-2021）表1以及表3标准；氨排放执行《恶臭污染物排放标准》（GB14554-93）表2中二级标准标准要求；厂区内VOCs排放执行《大气污染物综合排放标准》（DB32/4041-2021）表2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289" w:type="pct"/>
                  <w:vMerge w:val="continue"/>
                  <w:vAlign w:val="center"/>
                </w:tcPr>
                <w:p>
                  <w:pPr>
                    <w:jc w:val="center"/>
                    <w:rPr>
                      <w:rFonts w:hint="default" w:ascii="Times New Roman" w:hAnsi="Times New Roman" w:eastAsia="宋体" w:cs="Times New Roman"/>
                      <w:sz w:val="21"/>
                      <w:szCs w:val="21"/>
                    </w:rPr>
                  </w:pPr>
                </w:p>
              </w:tc>
              <w:tc>
                <w:tcPr>
                  <w:tcW w:w="782" w:type="pct"/>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二级活性炭吸附处理装置</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本项目实验过程中产生氮氧化物、氯化氢、硫酸雾、氨以及非甲烷总烃，项目采用二级活性炭吸附装置处理该废气，废气产生量较小且经活性炭处理后排放，对环境影响较小。设计风量为12000m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899" w:type="pct"/>
                  <w:tcMar>
                    <w:left w:w="0" w:type="dxa"/>
                    <w:right w:w="0" w:type="dxa"/>
                  </w:tcMar>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根据环评内容建设</w:t>
                  </w:r>
                </w:p>
              </w:tc>
              <w:tc>
                <w:tcPr>
                  <w:tcW w:w="1577" w:type="pct"/>
                  <w:vMerge w:val="continue"/>
                  <w:tcMar>
                    <w:left w:w="0" w:type="dxa"/>
                    <w:right w:w="0" w:type="dxa"/>
                  </w:tcMar>
                  <w:vAlign w:val="center"/>
                </w:tcPr>
                <w:p>
                  <w:pPr>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289" w:type="pct"/>
                  <w:vMerge w:val="restar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废水</w:t>
                  </w:r>
                </w:p>
              </w:tc>
              <w:tc>
                <w:tcPr>
                  <w:tcW w:w="782"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雨污分流管网</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899" w:type="pct"/>
                  <w:tcMar>
                    <w:left w:w="0" w:type="dxa"/>
                    <w:right w:w="0" w:type="dxa"/>
                  </w:tcMar>
                  <w:vAlign w:val="center"/>
                </w:tcPr>
                <w:p>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c>
                <w:tcPr>
                  <w:tcW w:w="1577" w:type="pct"/>
                  <w:vMerge w:val="restart"/>
                  <w:tcMar>
                    <w:left w:w="0" w:type="dxa"/>
                    <w:right w:w="0"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依托现有，满足《江苏省排污口设置及规范化整治管理办法》的要求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289" w:type="pct"/>
                  <w:vMerge w:val="continue"/>
                  <w:vAlign w:val="center"/>
                </w:tcPr>
                <w:p>
                  <w:pPr>
                    <w:jc w:val="center"/>
                    <w:rPr>
                      <w:rFonts w:hint="default" w:ascii="Times New Roman" w:hAnsi="Times New Roman" w:eastAsia="宋体" w:cs="Times New Roman"/>
                      <w:sz w:val="21"/>
                      <w:szCs w:val="21"/>
                    </w:rPr>
                  </w:pPr>
                </w:p>
              </w:tc>
              <w:tc>
                <w:tcPr>
                  <w:tcW w:w="782"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排污口规范化设置</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规范化设置</w:t>
                  </w:r>
                </w:p>
              </w:tc>
              <w:tc>
                <w:tcPr>
                  <w:tcW w:w="899" w:type="pct"/>
                  <w:tcMar>
                    <w:left w:w="0" w:type="dxa"/>
                    <w:right w:w="0" w:type="dxa"/>
                  </w:tcMar>
                  <w:vAlign w:val="center"/>
                </w:tcPr>
                <w:p>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已设置相关告示牌</w:t>
                  </w:r>
                </w:p>
              </w:tc>
              <w:tc>
                <w:tcPr>
                  <w:tcW w:w="1577" w:type="pct"/>
                  <w:vMerge w:val="continue"/>
                  <w:tcMar>
                    <w:left w:w="0" w:type="dxa"/>
                    <w:right w:w="0" w:type="dxa"/>
                  </w:tcMar>
                  <w:vAlign w:val="center"/>
                </w:tcPr>
                <w:p>
                  <w:pPr>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28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噪声</w:t>
                  </w:r>
                </w:p>
              </w:tc>
              <w:tc>
                <w:tcPr>
                  <w:tcW w:w="782"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消声、隔声、减振</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降噪量≥15dB(A)</w:t>
                  </w:r>
                </w:p>
              </w:tc>
              <w:tc>
                <w:tcPr>
                  <w:tcW w:w="899" w:type="pct"/>
                  <w:tcMar>
                    <w:left w:w="0" w:type="dxa"/>
                    <w:right w:w="0"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降噪量≥15dB(A)</w:t>
                  </w:r>
                </w:p>
              </w:tc>
              <w:tc>
                <w:tcPr>
                  <w:tcW w:w="1577" w:type="pct"/>
                  <w:tcMar>
                    <w:left w:w="0" w:type="dxa"/>
                    <w:right w:w="0" w:type="dxa"/>
                  </w:tcMar>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厂界噪声达标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289" w:type="pct"/>
                  <w:vMerge w:val="restar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固废</w:t>
                  </w:r>
                </w:p>
              </w:tc>
              <w:tc>
                <w:tcPr>
                  <w:tcW w:w="782"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一般固废堆场</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8m</w:t>
                  </w:r>
                  <w:r>
                    <w:rPr>
                      <w:rFonts w:hint="default" w:ascii="Times New Roman" w:hAnsi="Times New Roman" w:eastAsia="宋体" w:cs="Times New Roman"/>
                      <w:sz w:val="21"/>
                      <w:szCs w:val="21"/>
                      <w:vertAlign w:val="superscript"/>
                    </w:rPr>
                    <w:t>2</w:t>
                  </w:r>
                </w:p>
              </w:tc>
              <w:tc>
                <w:tcPr>
                  <w:tcW w:w="899" w:type="pct"/>
                  <w:tcMar>
                    <w:left w:w="0" w:type="dxa"/>
                    <w:right w:w="0" w:type="dxa"/>
                  </w:tcMar>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8m</w:t>
                  </w:r>
                  <w:r>
                    <w:rPr>
                      <w:rFonts w:hint="default" w:ascii="Times New Roman" w:hAnsi="Times New Roman" w:eastAsia="宋体" w:cs="Times New Roman"/>
                      <w:sz w:val="21"/>
                      <w:szCs w:val="21"/>
                      <w:vertAlign w:val="superscript"/>
                    </w:rPr>
                    <w:t>2</w:t>
                  </w:r>
                </w:p>
              </w:tc>
              <w:tc>
                <w:tcPr>
                  <w:tcW w:w="1577" w:type="pct"/>
                  <w:tcMar>
                    <w:left w:w="0" w:type="dxa"/>
                    <w:right w:w="0" w:type="dxa"/>
                  </w:tcMar>
                  <w:vAlign w:val="center"/>
                </w:tcPr>
                <w:p>
                  <w:pPr>
                    <w:jc w:val="center"/>
                    <w:rPr>
                      <w:rFonts w:hint="default" w:ascii="Times New Roman" w:hAnsi="Times New Roman" w:eastAsia="宋体" w:cs="Times New Roman"/>
                      <w:sz w:val="21"/>
                      <w:szCs w:val="21"/>
                    </w:rPr>
                  </w:pPr>
                  <w:r>
                    <w:rPr>
                      <w:rFonts w:hint="eastAsia" w:ascii="Times New Roman" w:hAnsi="Times New Roman" w:eastAsia="宋体" w:cs="Times New Roman"/>
                      <w:bCs/>
                      <w:sz w:val="21"/>
                      <w:szCs w:val="21"/>
                      <w:lang w:val="en-US" w:eastAsia="zh-CN"/>
                    </w:rPr>
                    <w:t>新建</w:t>
                  </w:r>
                  <w:r>
                    <w:rPr>
                      <w:rFonts w:hint="default" w:ascii="Times New Roman" w:hAnsi="Times New Roman" w:eastAsia="宋体" w:cs="Times New Roman"/>
                      <w:bCs/>
                      <w:sz w:val="21"/>
                      <w:szCs w:val="21"/>
                    </w:rPr>
                    <w:t>，满足《一般工业固体废物贮存和填埋污染控制标准》（GB18599-2020）要求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72" w:type="pct"/>
                  <w:vMerge w:val="continue"/>
                  <w:vAlign w:val="center"/>
                </w:tcPr>
                <w:p>
                  <w:pPr>
                    <w:jc w:val="center"/>
                    <w:rPr>
                      <w:rFonts w:hint="default" w:ascii="Times New Roman" w:hAnsi="Times New Roman" w:eastAsia="宋体" w:cs="Times New Roman"/>
                      <w:sz w:val="21"/>
                      <w:szCs w:val="21"/>
                    </w:rPr>
                  </w:pPr>
                </w:p>
              </w:tc>
              <w:tc>
                <w:tcPr>
                  <w:tcW w:w="289" w:type="pct"/>
                  <w:vMerge w:val="continue"/>
                  <w:vAlign w:val="center"/>
                </w:tcPr>
                <w:p>
                  <w:pPr>
                    <w:jc w:val="center"/>
                    <w:rPr>
                      <w:rFonts w:hint="default" w:ascii="Times New Roman" w:hAnsi="Times New Roman" w:eastAsia="宋体" w:cs="Times New Roman"/>
                      <w:sz w:val="21"/>
                      <w:szCs w:val="21"/>
                    </w:rPr>
                  </w:pPr>
                </w:p>
              </w:tc>
              <w:tc>
                <w:tcPr>
                  <w:tcW w:w="782"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危险废物堆场</w:t>
                  </w:r>
                </w:p>
              </w:tc>
              <w:tc>
                <w:tcPr>
                  <w:tcW w:w="1179" w:type="pct"/>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5m</w:t>
                  </w:r>
                  <w:r>
                    <w:rPr>
                      <w:rFonts w:hint="default" w:ascii="Times New Roman" w:hAnsi="Times New Roman" w:eastAsia="宋体" w:cs="Times New Roman"/>
                      <w:sz w:val="21"/>
                      <w:szCs w:val="21"/>
                      <w:vertAlign w:val="superscript"/>
                    </w:rPr>
                    <w:t>2</w:t>
                  </w:r>
                </w:p>
              </w:tc>
              <w:tc>
                <w:tcPr>
                  <w:tcW w:w="899" w:type="pct"/>
                  <w:tcMar>
                    <w:left w:w="0" w:type="dxa"/>
                    <w:right w:w="0" w:type="dxa"/>
                  </w:tcMar>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5m</w:t>
                  </w:r>
                  <w:r>
                    <w:rPr>
                      <w:rFonts w:hint="default" w:ascii="Times New Roman" w:hAnsi="Times New Roman" w:eastAsia="宋体" w:cs="Times New Roman"/>
                      <w:sz w:val="21"/>
                      <w:szCs w:val="21"/>
                      <w:vertAlign w:val="superscript"/>
                    </w:rPr>
                    <w:t>2</w:t>
                  </w:r>
                </w:p>
              </w:tc>
              <w:tc>
                <w:tcPr>
                  <w:tcW w:w="1577" w:type="pct"/>
                  <w:tcMar>
                    <w:left w:w="0" w:type="dxa"/>
                    <w:right w:w="0" w:type="dxa"/>
                  </w:tcMar>
                  <w:vAlign w:val="center"/>
                </w:tcPr>
                <w:p>
                  <w:pPr>
                    <w:jc w:val="center"/>
                    <w:rPr>
                      <w:rFonts w:hint="default" w:ascii="Times New Roman" w:hAnsi="Times New Roman" w:eastAsia="宋体" w:cs="Times New Roman"/>
                      <w:sz w:val="21"/>
                      <w:szCs w:val="21"/>
                    </w:rPr>
                  </w:pPr>
                  <w:r>
                    <w:rPr>
                      <w:rFonts w:hint="eastAsia" w:ascii="Times New Roman" w:hAnsi="Times New Roman" w:eastAsia="宋体" w:cs="Times New Roman"/>
                      <w:bCs/>
                      <w:sz w:val="21"/>
                      <w:szCs w:val="21"/>
                      <w:lang w:val="en-US" w:eastAsia="zh-CN"/>
                    </w:rPr>
                    <w:t>新建</w:t>
                  </w:r>
                  <w:r>
                    <w:rPr>
                      <w:rFonts w:hint="default" w:ascii="Times New Roman" w:hAnsi="Times New Roman" w:eastAsia="宋体" w:cs="Times New Roman"/>
                      <w:bCs/>
                      <w:sz w:val="21"/>
                      <w:szCs w:val="21"/>
                    </w:rPr>
                    <w:t>，满足《危险废物贮存污染控制标准》（GB18597-2023）要求</w:t>
                  </w:r>
                </w:p>
              </w:tc>
            </w:tr>
          </w:tbl>
          <w:p>
            <w:pPr>
              <w:spacing w:line="240" w:lineRule="auto"/>
              <w:jc w:val="center"/>
              <w:rPr>
                <w:rFonts w:hint="default" w:ascii="Times New Roman" w:hAnsi="Times New Roman" w:eastAsia="宋体" w:cs="Times New Roman"/>
                <w:b/>
                <w:bCs/>
                <w:sz w:val="21"/>
                <w:szCs w:val="24"/>
                <w:lang w:val="en-US" w:eastAsia="zh-CN"/>
              </w:rPr>
            </w:pPr>
            <w:r>
              <w:rPr>
                <w:rFonts w:hint="default" w:ascii="Times New Roman" w:hAnsi="Times New Roman" w:eastAsia="宋体" w:cs="Times New Roman"/>
                <w:b/>
                <w:bCs/>
                <w:sz w:val="21"/>
                <w:szCs w:val="24"/>
                <w:lang w:val="en-US" w:eastAsia="zh-CN"/>
              </w:rPr>
              <w:t>表2-2  建设项目产品方案</w:t>
            </w:r>
          </w:p>
          <w:tbl>
            <w:tblPr>
              <w:tblStyle w:val="20"/>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1108"/>
              <w:gridCol w:w="1427"/>
              <w:gridCol w:w="1437"/>
              <w:gridCol w:w="329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c>
                <w:tcPr>
                  <w:tcW w:w="622" w:type="pct"/>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sz w:val="21"/>
                      <w:szCs w:val="21"/>
                    </w:rPr>
                    <w:t>工程名称（车间、生产装置或生产线）</w:t>
                  </w:r>
                </w:p>
              </w:tc>
              <w:tc>
                <w:tcPr>
                  <w:tcW w:w="667" w:type="pct"/>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产品名称</w:t>
                  </w:r>
                </w:p>
              </w:tc>
              <w:tc>
                <w:tcPr>
                  <w:tcW w:w="859" w:type="pct"/>
                  <w:vAlign w:val="center"/>
                </w:tcPr>
                <w:p>
                  <w:pPr>
                    <w:adjustRightInd w:val="0"/>
                    <w:snapToGrid w:val="0"/>
                    <w:jc w:val="center"/>
                    <w:rPr>
                      <w:rFonts w:hint="default" w:ascii="Times New Roman" w:hAnsi="Times New Roman" w:eastAsia="宋体" w:cs="Times New Roman"/>
                      <w:b/>
                      <w:bCs/>
                      <w:sz w:val="21"/>
                      <w:szCs w:val="21"/>
                    </w:rPr>
                  </w:pPr>
                  <w:r>
                    <w:rPr>
                      <w:rFonts w:hint="eastAsia" w:ascii="Times New Roman" w:hAnsi="Times New Roman" w:eastAsia="宋体" w:cs="Times New Roman"/>
                      <w:b/>
                      <w:bCs/>
                      <w:sz w:val="21"/>
                      <w:szCs w:val="21"/>
                      <w:lang w:val="en-US" w:eastAsia="zh-CN"/>
                    </w:rPr>
                    <w:t>环评设计</w:t>
                  </w:r>
                  <w:r>
                    <w:rPr>
                      <w:rFonts w:hint="default" w:ascii="Times New Roman" w:hAnsi="Times New Roman" w:eastAsia="宋体" w:cs="Times New Roman"/>
                      <w:b/>
                      <w:bCs/>
                      <w:sz w:val="21"/>
                      <w:szCs w:val="21"/>
                    </w:rPr>
                    <w:t>年运行时数（h）</w:t>
                  </w:r>
                </w:p>
              </w:tc>
              <w:tc>
                <w:tcPr>
                  <w:tcW w:w="865" w:type="pct"/>
                  <w:vAlign w:val="center"/>
                </w:tcPr>
                <w:p>
                  <w:pPr>
                    <w:adjustRightInd w:val="0"/>
                    <w:snapToGrid w:val="0"/>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实际年运行时间（h）</w:t>
                  </w:r>
                </w:p>
              </w:tc>
              <w:tc>
                <w:tcPr>
                  <w:tcW w:w="1986" w:type="pct"/>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2" w:type="pct"/>
                  <w:vMerge w:val="restar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实验分析室</w:t>
                  </w:r>
                </w:p>
              </w:tc>
              <w:tc>
                <w:tcPr>
                  <w:tcW w:w="667" w:type="pct"/>
                  <w:vAlign w:val="center"/>
                </w:tcPr>
                <w:p>
                  <w:pPr>
                    <w:adjustRightInd w:val="0"/>
                    <w:snapToGrid w:val="0"/>
                    <w:jc w:val="center"/>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rPr>
                    <w:t>空气和废气检测业务</w:t>
                  </w:r>
                </w:p>
              </w:tc>
              <w:tc>
                <w:tcPr>
                  <w:tcW w:w="8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1500</w:t>
                  </w:r>
                </w:p>
              </w:tc>
              <w:tc>
                <w:tcPr>
                  <w:tcW w:w="865" w:type="pct"/>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1500</w:t>
                  </w:r>
                </w:p>
              </w:tc>
              <w:tc>
                <w:tcPr>
                  <w:tcW w:w="1986"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要监测内容：总悬浮颗粒物、可吸入颗粒物（PM10和PM2.5）、烟气黑度、低浓度颗粒物、烟尘、颗粒物、（烟气温度、流速、含湿量、含氧量）、油烟、油雾、氨、二氧化硫、一氧化氮和二氧化氮、氯化氢、氮氧化物、硫化氢、硫酸雾、氟化物、氯气、恶臭九项、苯胺类、甲醛、非甲烷总烃、总烃、甲烷、甲醇、苯系物、挥发性有机物、LDAR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2" w:type="pct"/>
                  <w:vMerge w:val="continue"/>
                  <w:vAlign w:val="center"/>
                </w:tcPr>
                <w:p>
                  <w:pPr>
                    <w:adjustRightInd w:val="0"/>
                    <w:snapToGrid w:val="0"/>
                    <w:jc w:val="center"/>
                    <w:rPr>
                      <w:rFonts w:hint="default" w:ascii="Times New Roman" w:hAnsi="Times New Roman" w:eastAsia="宋体" w:cs="Times New Roman"/>
                      <w:sz w:val="21"/>
                      <w:szCs w:val="21"/>
                    </w:rPr>
                  </w:pPr>
                </w:p>
              </w:tc>
              <w:tc>
                <w:tcPr>
                  <w:tcW w:w="667" w:type="pct"/>
                  <w:vAlign w:val="center"/>
                </w:tcPr>
                <w:p>
                  <w:pPr>
                    <w:adjustRightInd w:val="0"/>
                    <w:snapToGrid w:val="0"/>
                    <w:jc w:val="center"/>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rPr>
                    <w:t>水质检测业务</w:t>
                  </w:r>
                </w:p>
              </w:tc>
              <w:tc>
                <w:tcPr>
                  <w:tcW w:w="8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1500</w:t>
                  </w:r>
                </w:p>
              </w:tc>
              <w:tc>
                <w:tcPr>
                  <w:tcW w:w="865" w:type="pct"/>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1500</w:t>
                  </w:r>
                </w:p>
              </w:tc>
              <w:tc>
                <w:tcPr>
                  <w:tcW w:w="1986"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要监测内容：水温、pH、电导率、色度、浊度、透明度、臭和味、甲醛、溶解氧、悬浮物、化学需氧量、高锰酸盐指数、五日生化需氧量、氨氮、总磷、总氮、氰化物、挥发酚、阴离子表面活性剂、LAS、动植物油、氧化还原电位、苯、甲苯、烷基汞、氟化物、氯化物、硫酸盐、亚硝酸盐（氮）、硝酸盐（氮）、苯胺类、流量、六价铬、铜、锌、铅、镉、铁、锰、钾、钠、铬、汞、砷、硒、粪大肠菌群、大肠埃希氏菌、耐热大肠菌群、总大肠菌群、细菌总数、硫化物、肉眼可见物、总硬度、溶解性总固体、三氯甲烷、四氯化碳、溴酸盐、亚氯酸盐、氯酸盐、耗氧量、TOC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2" w:type="pct"/>
                  <w:vMerge w:val="continue"/>
                  <w:vAlign w:val="center"/>
                </w:tcPr>
                <w:p>
                  <w:pPr>
                    <w:adjustRightInd w:val="0"/>
                    <w:snapToGrid w:val="0"/>
                    <w:jc w:val="center"/>
                    <w:rPr>
                      <w:rFonts w:hint="default" w:ascii="Times New Roman" w:hAnsi="Times New Roman" w:eastAsia="宋体" w:cs="Times New Roman"/>
                      <w:sz w:val="21"/>
                      <w:szCs w:val="21"/>
                    </w:rPr>
                  </w:pPr>
                </w:p>
              </w:tc>
              <w:tc>
                <w:tcPr>
                  <w:tcW w:w="667" w:type="pct"/>
                  <w:vAlign w:val="center"/>
                </w:tcPr>
                <w:p>
                  <w:pPr>
                    <w:adjustRightInd w:val="0"/>
                    <w:snapToGrid w:val="0"/>
                    <w:jc w:val="center"/>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rPr>
                    <w:t>噪声检测业务（现场检测）</w:t>
                  </w:r>
                </w:p>
              </w:tc>
              <w:tc>
                <w:tcPr>
                  <w:tcW w:w="8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100</w:t>
                  </w:r>
                </w:p>
              </w:tc>
              <w:tc>
                <w:tcPr>
                  <w:tcW w:w="865" w:type="pct"/>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100</w:t>
                  </w:r>
                </w:p>
              </w:tc>
              <w:tc>
                <w:tcPr>
                  <w:tcW w:w="1986"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主要监测内容：区域环境噪声、交通噪声、工业企业厂界噪声、建筑施工场界噪声、轨道交通噪声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2" w:type="pct"/>
                  <w:vMerge w:val="continue"/>
                  <w:vAlign w:val="center"/>
                </w:tcPr>
                <w:p>
                  <w:pPr>
                    <w:adjustRightInd w:val="0"/>
                    <w:snapToGrid w:val="0"/>
                    <w:jc w:val="center"/>
                    <w:rPr>
                      <w:rFonts w:hint="default" w:ascii="Times New Roman" w:hAnsi="Times New Roman" w:eastAsia="宋体" w:cs="Times New Roman"/>
                      <w:sz w:val="21"/>
                      <w:szCs w:val="21"/>
                    </w:rPr>
                  </w:pPr>
                </w:p>
              </w:tc>
              <w:tc>
                <w:tcPr>
                  <w:tcW w:w="667" w:type="pct"/>
                  <w:vAlign w:val="center"/>
                </w:tcPr>
                <w:p>
                  <w:pPr>
                    <w:adjustRightInd w:val="0"/>
                    <w:snapToGrid w:val="0"/>
                    <w:jc w:val="center"/>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rPr>
                    <w:t>土壤检测业务</w:t>
                  </w:r>
                </w:p>
              </w:tc>
              <w:tc>
                <w:tcPr>
                  <w:tcW w:w="859"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w:t>
                  </w:r>
                </w:p>
              </w:tc>
              <w:tc>
                <w:tcPr>
                  <w:tcW w:w="865" w:type="pct"/>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100</w:t>
                  </w:r>
                </w:p>
              </w:tc>
              <w:tc>
                <w:tcPr>
                  <w:tcW w:w="1986" w:type="pct"/>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主要监测内容：PH值、干物质和水分、铜、锌、铅、镉、镍、总铬、六价铬、汞、砷、硒、铋、锑、钴、氟化物、氰化物（总氰化物）、石油烃、挥发性、半挥发性有机物等</w:t>
                  </w:r>
                </w:p>
              </w:tc>
            </w:tr>
          </w:tbl>
          <w:p>
            <w:pPr>
              <w:spacing w:line="360" w:lineRule="auto"/>
              <w:rPr>
                <w:rFonts w:hint="default" w:ascii="Times New Roman" w:hAnsi="Times New Roman" w:eastAsia="宋体" w:cs="Times New Roman"/>
                <w:b/>
                <w:sz w:val="24"/>
              </w:rPr>
            </w:pPr>
            <w:r>
              <w:rPr>
                <w:rFonts w:hint="default" w:ascii="Times New Roman" w:hAnsi="Times New Roman" w:eastAsia="宋体" w:cs="Times New Roman"/>
                <w:b/>
                <w:sz w:val="24"/>
              </w:rPr>
              <w:t>原辅材料消耗情况及主要生产设备清单：</w:t>
            </w:r>
          </w:p>
          <w:p>
            <w:pPr>
              <w:spacing w:line="360" w:lineRule="auto"/>
              <w:ind w:firstLine="480" w:firstLineChars="200"/>
              <w:jc w:val="both"/>
              <w:rPr>
                <w:rFonts w:hint="default" w:ascii="Times New Roman" w:hAnsi="Times New Roman" w:eastAsia="宋体" w:cs="Times New Roman"/>
                <w:b/>
                <w:bCs/>
                <w:sz w:val="21"/>
                <w:szCs w:val="24"/>
                <w:lang w:val="en-US" w:eastAsia="zh-CN"/>
              </w:rPr>
            </w:pPr>
            <w:r>
              <w:rPr>
                <w:rFonts w:hint="default" w:ascii="Times New Roman" w:hAnsi="Times New Roman" w:eastAsia="宋体" w:cs="Times New Roman"/>
                <w:sz w:val="24"/>
              </w:rPr>
              <w:t>本项目原辅料消耗情况见表2-</w:t>
            </w:r>
            <w:r>
              <w:rPr>
                <w:rFonts w:hint="default" w:ascii="Times New Roman" w:hAnsi="Times New Roman" w:eastAsia="宋体" w:cs="Times New Roman"/>
                <w:sz w:val="24"/>
                <w:lang w:val="en-US" w:eastAsia="zh-CN"/>
              </w:rPr>
              <w:t>3</w:t>
            </w:r>
            <w:r>
              <w:rPr>
                <w:rFonts w:hint="default" w:ascii="Times New Roman" w:hAnsi="Times New Roman" w:eastAsia="宋体" w:cs="Times New Roman"/>
                <w:sz w:val="24"/>
              </w:rPr>
              <w:t>；主要生产设备清单见表2-</w:t>
            </w:r>
            <w:r>
              <w:rPr>
                <w:rFonts w:hint="default" w:ascii="Times New Roman" w:hAnsi="Times New Roman" w:eastAsia="宋体" w:cs="Times New Roman"/>
                <w:sz w:val="24"/>
                <w:lang w:val="en-US" w:eastAsia="zh-CN"/>
              </w:rPr>
              <w:t>4</w:t>
            </w:r>
            <w:r>
              <w:rPr>
                <w:rFonts w:hint="default" w:ascii="Times New Roman" w:hAnsi="Times New Roman" w:eastAsia="宋体" w:cs="Times New Roman"/>
                <w:sz w:val="24"/>
              </w:rPr>
              <w:t>。</w:t>
            </w:r>
          </w:p>
          <w:p>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sz w:val="21"/>
                <w:szCs w:val="24"/>
              </w:rPr>
              <w:t>表2-</w:t>
            </w:r>
            <w:r>
              <w:rPr>
                <w:rFonts w:hint="default" w:ascii="Times New Roman" w:hAnsi="Times New Roman" w:eastAsia="宋体" w:cs="Times New Roman"/>
                <w:b/>
                <w:sz w:val="21"/>
                <w:szCs w:val="24"/>
                <w:lang w:val="en-US" w:eastAsia="zh-CN"/>
              </w:rPr>
              <w:t>3</w:t>
            </w:r>
            <w:r>
              <w:rPr>
                <w:rFonts w:hint="default" w:ascii="Times New Roman" w:hAnsi="Times New Roman" w:eastAsia="宋体" w:cs="Times New Roman"/>
                <w:b/>
                <w:sz w:val="21"/>
                <w:szCs w:val="24"/>
              </w:rPr>
              <w:t xml:space="preserve">  建设项目主要原辅料</w:t>
            </w:r>
          </w:p>
          <w:tbl>
            <w:tblPr>
              <w:tblStyle w:val="20"/>
              <w:tblW w:w="5000"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
            <w:tblGrid>
              <w:gridCol w:w="472"/>
              <w:gridCol w:w="2151"/>
              <w:gridCol w:w="830"/>
              <w:gridCol w:w="890"/>
              <w:gridCol w:w="891"/>
              <w:gridCol w:w="544"/>
              <w:gridCol w:w="511"/>
              <w:gridCol w:w="686"/>
              <w:gridCol w:w="687"/>
              <w:gridCol w:w="644"/>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b/>
                      <w:bCs/>
                      <w:kern w:val="0"/>
                      <w:sz w:val="21"/>
                      <w:szCs w:val="21"/>
                    </w:rPr>
                  </w:pPr>
                  <w:bookmarkStart w:id="8" w:name="OLE_LINK1" w:colFirst="3" w:colLast="3"/>
                  <w:r>
                    <w:rPr>
                      <w:rFonts w:hint="default" w:ascii="Times New Roman" w:hAnsi="Times New Roman" w:eastAsia="宋体" w:cs="Times New Roman"/>
                      <w:b/>
                      <w:bCs/>
                      <w:kern w:val="0"/>
                      <w:sz w:val="21"/>
                      <w:szCs w:val="21"/>
                    </w:rPr>
                    <w:t>序号</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试剂名称</w:t>
                  </w:r>
                </w:p>
              </w:tc>
              <w:tc>
                <w:tcPr>
                  <w:tcW w:w="499"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包装规格</w:t>
                  </w:r>
                </w:p>
              </w:tc>
              <w:tc>
                <w:tcPr>
                  <w:tcW w:w="535"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设计年耗量</w:t>
                  </w:r>
                </w:p>
              </w:tc>
              <w:tc>
                <w:tcPr>
                  <w:tcW w:w="536"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lang w:val="en-US" w:eastAsia="zh-CN"/>
                    </w:rPr>
                    <w:t>实际</w:t>
                  </w:r>
                  <w:r>
                    <w:rPr>
                      <w:rFonts w:hint="default" w:ascii="Times New Roman" w:hAnsi="Times New Roman" w:eastAsia="宋体" w:cs="Times New Roman"/>
                      <w:b/>
                      <w:bCs/>
                      <w:kern w:val="0"/>
                      <w:sz w:val="21"/>
                      <w:szCs w:val="21"/>
                    </w:rPr>
                    <w:t>年耗量</w:t>
                  </w:r>
                </w:p>
              </w:tc>
              <w:tc>
                <w:tcPr>
                  <w:tcW w:w="327"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形态</w:t>
                  </w:r>
                </w:p>
              </w:tc>
              <w:tc>
                <w:tcPr>
                  <w:tcW w:w="307" w:type="pct"/>
                  <w:noWrap/>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级别</w:t>
                  </w:r>
                </w:p>
              </w:tc>
              <w:tc>
                <w:tcPr>
                  <w:tcW w:w="412" w:type="pct"/>
                  <w:noWrap/>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最大储存量</w:t>
                  </w:r>
                </w:p>
              </w:tc>
              <w:tc>
                <w:tcPr>
                  <w:tcW w:w="413" w:type="pct"/>
                  <w:noWrap/>
                  <w:vAlign w:val="center"/>
                </w:tcPr>
                <w:p>
                  <w:pPr>
                    <w:widowControl/>
                    <w:adjustRightInd w:val="0"/>
                    <w:snapToGrid w:val="0"/>
                    <w:jc w:val="center"/>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实际储存量</w:t>
                  </w:r>
                </w:p>
              </w:tc>
              <w:tc>
                <w:tcPr>
                  <w:tcW w:w="387" w:type="pct"/>
                  <w:noWrap/>
                  <w:vAlign w:val="center"/>
                </w:tcPr>
                <w:p>
                  <w:pPr>
                    <w:widowControl/>
                    <w:adjustRightInd w:val="0"/>
                    <w:snapToGrid w:val="0"/>
                    <w:jc w:val="center"/>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储存位置</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过硫酸钾（K</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8</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400g/a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400g/a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restar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试剂库</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氯化钾(KCl)</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100</w:t>
                  </w:r>
                  <w:r>
                    <w:rPr>
                      <w:rFonts w:hint="default" w:ascii="Times New Roman" w:hAnsi="Times New Roman" w:eastAsia="宋体" w:cs="Times New Roman"/>
                      <w:sz w:val="21"/>
                      <w:szCs w:val="21"/>
                    </w:rPr>
                    <w:t>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邻苯二甲酸氢钾</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8</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5</w:t>
                  </w:r>
                  <w:r>
                    <w:rPr>
                      <w:rFonts w:hint="default" w:ascii="Times New Roman" w:hAnsi="Times New Roman" w:eastAsia="宋体" w:cs="Times New Roman"/>
                      <w:sz w:val="21"/>
                      <w:szCs w:val="21"/>
                    </w:rPr>
                    <w:t>KO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铁氰化钾(K</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Fe(CN)</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45</w:t>
                  </w:r>
                  <w:r>
                    <w:rPr>
                      <w:rFonts w:hint="default" w:ascii="Times New Roman" w:hAnsi="Times New Roman" w:eastAsia="宋体" w:cs="Times New Roman"/>
                      <w:sz w:val="21"/>
                      <w:szCs w:val="21"/>
                    </w:rPr>
                    <w:t>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硫酸铝钾</w:t>
                  </w:r>
                  <w:r>
                    <w:rPr>
                      <w:rFonts w:hint="default" w:ascii="Times New Roman" w:hAnsi="Times New Roman" w:eastAsia="宋体" w:cs="Times New Roman"/>
                      <w:sz w:val="21"/>
                      <w:szCs w:val="21"/>
                    </w:rPr>
                    <w:t>(AlK(SO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磷酸氢二钠(Na</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HPO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45</w:t>
                  </w:r>
                  <w:r>
                    <w:rPr>
                      <w:rFonts w:hint="default" w:ascii="Times New Roman" w:hAnsi="Times New Roman" w:eastAsia="宋体" w:cs="Times New Roman"/>
                      <w:sz w:val="21"/>
                      <w:szCs w:val="21"/>
                    </w:rPr>
                    <w:t>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溴酚蓝(C</w:t>
                  </w:r>
                  <w:r>
                    <w:rPr>
                      <w:rFonts w:hint="default" w:ascii="Times New Roman" w:hAnsi="Times New Roman" w:eastAsia="宋体" w:cs="Times New Roman"/>
                      <w:sz w:val="21"/>
                      <w:szCs w:val="21"/>
                      <w:vertAlign w:val="subscript"/>
                    </w:rPr>
                    <w:t>19</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Br</w:t>
                  </w:r>
                  <w:r>
                    <w:rPr>
                      <w:rFonts w:hint="default" w:ascii="Times New Roman" w:hAnsi="Times New Roman" w:eastAsia="宋体" w:cs="Times New Roman"/>
                      <w:sz w:val="21"/>
                      <w:szCs w:val="21"/>
                      <w:vertAlign w:val="subscript"/>
                    </w:rPr>
                    <w:t>8</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5</w:t>
                  </w:r>
                  <w:r>
                    <w:rPr>
                      <w:rFonts w:hint="default" w:ascii="Times New Roman" w:hAnsi="Times New Roman" w:eastAsia="宋体" w:cs="Times New Roman"/>
                      <w:sz w:val="21"/>
                      <w:szCs w:val="21"/>
                    </w:rPr>
                    <w:t>S)</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磷酸二氢钠(NaH</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PO</w:t>
                  </w:r>
                  <w:r>
                    <w:rPr>
                      <w:rFonts w:hint="default" w:ascii="Times New Roman" w:hAnsi="Times New Roman" w:eastAsia="宋体" w:cs="Times New Roman"/>
                      <w:kern w:val="0"/>
                      <w:sz w:val="21"/>
                      <w:szCs w:val="21"/>
                      <w:vertAlign w:val="subscript"/>
                    </w:rPr>
                    <w:t>4</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碳酸钾(K</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CO</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无水碳酸钠(Na</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CO</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乙二胺四乙酸二钠(C</w:t>
                  </w:r>
                  <w:r>
                    <w:rPr>
                      <w:rFonts w:hint="default" w:ascii="Times New Roman" w:hAnsi="Times New Roman" w:eastAsia="宋体" w:cs="Times New Roman"/>
                      <w:kern w:val="0"/>
                      <w:sz w:val="21"/>
                      <w:szCs w:val="21"/>
                      <w:vertAlign w:val="subscript"/>
                    </w:rPr>
                    <w:t>10</w:t>
                  </w:r>
                  <w:r>
                    <w:rPr>
                      <w:rFonts w:hint="default" w:ascii="Times New Roman" w:hAnsi="Times New Roman" w:eastAsia="宋体" w:cs="Times New Roman"/>
                      <w:kern w:val="0"/>
                      <w:sz w:val="21"/>
                      <w:szCs w:val="21"/>
                    </w:rPr>
                    <w:t>H</w:t>
                  </w:r>
                  <w:r>
                    <w:rPr>
                      <w:rFonts w:hint="default" w:ascii="Times New Roman" w:hAnsi="Times New Roman" w:eastAsia="宋体" w:cs="Times New Roman"/>
                      <w:kern w:val="0"/>
                      <w:sz w:val="21"/>
                      <w:szCs w:val="21"/>
                      <w:vertAlign w:val="subscript"/>
                    </w:rPr>
                    <w:t>14</w:t>
                  </w:r>
                  <w:r>
                    <w:rPr>
                      <w:rFonts w:hint="default" w:ascii="Times New Roman" w:hAnsi="Times New Roman" w:eastAsia="宋体" w:cs="Times New Roman"/>
                      <w:kern w:val="0"/>
                      <w:sz w:val="21"/>
                      <w:szCs w:val="21"/>
                    </w:rPr>
                    <w:t>N</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Na</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O</w:t>
                  </w:r>
                  <w:r>
                    <w:rPr>
                      <w:rFonts w:hint="default" w:ascii="Times New Roman" w:hAnsi="Times New Roman" w:eastAsia="宋体" w:cs="Times New Roman"/>
                      <w:kern w:val="0"/>
                      <w:sz w:val="21"/>
                      <w:szCs w:val="21"/>
                      <w:vertAlign w:val="subscript"/>
                    </w:rPr>
                    <w:t>8</w:t>
                  </w:r>
                  <w:r>
                    <w:rPr>
                      <w:rFonts w:hint="default" w:ascii="Times New Roman" w:hAnsi="Times New Roman" w:eastAsia="宋体" w:cs="Times New Roman"/>
                      <w:kern w:val="0"/>
                      <w:sz w:val="21"/>
                      <w:szCs w:val="21"/>
                    </w:rPr>
                    <w:t>•2H</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O)</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12</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四硼酸钠(Na</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B</w:t>
                  </w:r>
                  <w:r>
                    <w:rPr>
                      <w:rFonts w:hint="default" w:ascii="Times New Roman" w:hAnsi="Times New Roman" w:eastAsia="宋体" w:cs="Times New Roman"/>
                      <w:kern w:val="0"/>
                      <w:sz w:val="21"/>
                      <w:szCs w:val="21"/>
                      <w:vertAlign w:val="subscript"/>
                    </w:rPr>
                    <w:t>4</w:t>
                  </w:r>
                  <w:r>
                    <w:rPr>
                      <w:rFonts w:hint="default" w:ascii="Times New Roman" w:hAnsi="Times New Roman" w:eastAsia="宋体" w:cs="Times New Roman"/>
                      <w:kern w:val="0"/>
                      <w:sz w:val="21"/>
                      <w:szCs w:val="21"/>
                    </w:rPr>
                    <w:t>O</w:t>
                  </w:r>
                  <w:r>
                    <w:rPr>
                      <w:rFonts w:hint="default" w:ascii="Times New Roman" w:hAnsi="Times New Roman" w:eastAsia="宋体" w:cs="Times New Roman"/>
                      <w:kern w:val="0"/>
                      <w:sz w:val="21"/>
                      <w:szCs w:val="21"/>
                      <w:vertAlign w:val="subscript"/>
                    </w:rPr>
                    <w:t>7</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13</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氯化钡(BaCl</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45</w:t>
                  </w:r>
                  <w:r>
                    <w:rPr>
                      <w:rFonts w:hint="default" w:ascii="Times New Roman" w:hAnsi="Times New Roman" w:eastAsia="宋体" w:cs="Times New Roman"/>
                      <w:sz w:val="21"/>
                      <w:szCs w:val="21"/>
                    </w:rPr>
                    <w:t>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14</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氢氧化铝(Al(OH)</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硫酸铜(CuSO</w:t>
                  </w:r>
                  <w:r>
                    <w:rPr>
                      <w:rFonts w:hint="default" w:ascii="Times New Roman" w:hAnsi="Times New Roman" w:eastAsia="宋体" w:cs="Times New Roman"/>
                      <w:kern w:val="0"/>
                      <w:sz w:val="21"/>
                      <w:szCs w:val="21"/>
                      <w:vertAlign w:val="subscript"/>
                    </w:rPr>
                    <w:t>4</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16</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硫酸镁(MgSO</w:t>
                  </w:r>
                  <w:r>
                    <w:rPr>
                      <w:rFonts w:hint="default" w:ascii="Times New Roman" w:hAnsi="Times New Roman" w:eastAsia="宋体" w:cs="Times New Roman"/>
                      <w:kern w:val="0"/>
                      <w:sz w:val="21"/>
                      <w:szCs w:val="21"/>
                      <w:vertAlign w:val="subscript"/>
                    </w:rPr>
                    <w:t>4</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17</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碳酸钙(CaCO</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18</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硫酸锰(MnSO</w:t>
                  </w:r>
                  <w:r>
                    <w:rPr>
                      <w:rFonts w:hint="default" w:ascii="Times New Roman" w:hAnsi="Times New Roman" w:eastAsia="宋体" w:cs="Times New Roman"/>
                      <w:kern w:val="0"/>
                      <w:sz w:val="21"/>
                      <w:szCs w:val="21"/>
                      <w:vertAlign w:val="subscript"/>
                    </w:rPr>
                    <w:t>4</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硼酸(H</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BO</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21</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草酸钠(Na</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C</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O</w:t>
                  </w:r>
                  <w:r>
                    <w:rPr>
                      <w:rFonts w:hint="default" w:ascii="Times New Roman" w:hAnsi="Times New Roman" w:eastAsia="宋体" w:cs="Times New Roman"/>
                      <w:kern w:val="0"/>
                      <w:sz w:val="21"/>
                      <w:szCs w:val="21"/>
                      <w:vertAlign w:val="subscript"/>
                    </w:rPr>
                    <w:t>4</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23</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可溶性淀粉</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24</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葡萄糖</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45</w:t>
                  </w:r>
                  <w:r>
                    <w:rPr>
                      <w:rFonts w:hint="default" w:ascii="Times New Roman" w:hAnsi="Times New Roman" w:eastAsia="宋体" w:cs="Times New Roman"/>
                      <w:sz w:val="21"/>
                      <w:szCs w:val="21"/>
                    </w:rPr>
                    <w:t>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GR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4-氨基苯磺酸(</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7</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NS</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26</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吡咯烷二硫代氨基甲酸盐(</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5</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15</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S</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27</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邻菲罗啉(</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12</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8</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28</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二乙基二硫代氨基甲酸银(</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5</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10</w:t>
                  </w:r>
                  <w:r>
                    <w:rPr>
                      <w:rFonts w:hint="default" w:ascii="Times New Roman" w:hAnsi="Times New Roman" w:eastAsia="宋体" w:cs="Times New Roman"/>
                      <w:sz w:val="21"/>
                      <w:szCs w:val="21"/>
                    </w:rPr>
                    <w:t>AgNS</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29</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溴百里酚蓝(</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27</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28</w:t>
                  </w:r>
                  <w:r>
                    <w:rPr>
                      <w:rFonts w:hint="default" w:ascii="Times New Roman" w:hAnsi="Times New Roman" w:eastAsia="宋体" w:cs="Times New Roman"/>
                      <w:sz w:val="21"/>
                      <w:szCs w:val="21"/>
                    </w:rPr>
                    <w:t>Br</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vertAlign w:val="baseline"/>
                    </w:rPr>
                    <w:t>O</w:t>
                  </w:r>
                  <w:r>
                    <w:rPr>
                      <w:rFonts w:hint="default" w:ascii="Times New Roman" w:hAnsi="Times New Roman" w:eastAsia="宋体" w:cs="Times New Roman"/>
                      <w:sz w:val="21"/>
                      <w:szCs w:val="21"/>
                      <w:vertAlign w:val="subscript"/>
                    </w:rPr>
                    <w:t>5</w:t>
                  </w:r>
                  <w:r>
                    <w:rPr>
                      <w:rFonts w:hint="default" w:ascii="Times New Roman" w:hAnsi="Times New Roman" w:eastAsia="宋体" w:cs="Times New Roman"/>
                      <w:sz w:val="21"/>
                      <w:szCs w:val="21"/>
                    </w:rPr>
                    <w:t>S</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30</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氨基磺酸(</w:t>
                  </w:r>
                  <w:r>
                    <w:rPr>
                      <w:rFonts w:hint="default" w:ascii="Times New Roman" w:hAnsi="Times New Roman" w:eastAsia="宋体" w:cs="Times New Roman"/>
                      <w:sz w:val="21"/>
                      <w:szCs w:val="21"/>
                    </w:rPr>
                    <w:t>NH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H</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31</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环已二胺四乙酸(</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14</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22</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8</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32</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甲基橙(</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14</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14</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NaO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S</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33</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钙试剂羟酸钠(</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21</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13</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7</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SNa</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34</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铬黑T（</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20</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12</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NaO</w:t>
                  </w:r>
                  <w:r>
                    <w:rPr>
                      <w:rFonts w:hint="default" w:ascii="Times New Roman" w:hAnsi="Times New Roman" w:eastAsia="宋体" w:cs="Times New Roman"/>
                      <w:sz w:val="21"/>
                      <w:szCs w:val="21"/>
                      <w:vertAlign w:val="subscript"/>
                    </w:rPr>
                    <w:t>7</w:t>
                  </w:r>
                  <w:r>
                    <w:rPr>
                      <w:rFonts w:hint="default" w:ascii="Times New Roman" w:hAnsi="Times New Roman" w:eastAsia="宋体" w:cs="Times New Roman"/>
                      <w:sz w:val="21"/>
                      <w:szCs w:val="21"/>
                    </w:rPr>
                    <w:t>S</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35</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4-氨基安替比林(</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11</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13</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O</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36</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铜铁试剂(</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10</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11</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37</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六亚甲基四胺(</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12</w:t>
                  </w:r>
                  <w:r>
                    <w:rPr>
                      <w:rFonts w:hint="default" w:ascii="Times New Roman" w:hAnsi="Times New Roman" w:eastAsia="宋体" w:cs="Times New Roman"/>
                      <w:sz w:val="21"/>
                      <w:szCs w:val="21"/>
                    </w:rPr>
                    <w:t>N</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38</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CMP指示剂</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39</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磷酸氢二铵(</w:t>
                  </w:r>
                  <w:r>
                    <w:rPr>
                      <w:rFonts w:hint="default" w:ascii="Times New Roman" w:hAnsi="Times New Roman" w:eastAsia="宋体" w:cs="Times New Roman"/>
                      <w:sz w:val="21"/>
                      <w:szCs w:val="21"/>
                    </w:rPr>
                    <w:t>(NH</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HPO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95</w:t>
                  </w:r>
                  <w:r>
                    <w:rPr>
                      <w:rFonts w:hint="default" w:ascii="Times New Roman" w:hAnsi="Times New Roman" w:eastAsia="宋体" w:cs="Times New Roman"/>
                      <w:sz w:val="21"/>
                      <w:szCs w:val="21"/>
                    </w:rPr>
                    <w:t>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40</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氯化铵(</w:t>
                  </w:r>
                  <w:r>
                    <w:rPr>
                      <w:rFonts w:hint="default" w:ascii="Times New Roman" w:hAnsi="Times New Roman" w:eastAsia="宋体" w:cs="Times New Roman"/>
                      <w:sz w:val="21"/>
                      <w:szCs w:val="21"/>
                    </w:rPr>
                    <w:t>NH</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Cl</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41</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亚硝酸钠(</w:t>
                  </w:r>
                  <w:r>
                    <w:rPr>
                      <w:rFonts w:hint="default" w:ascii="Times New Roman" w:hAnsi="Times New Roman" w:eastAsia="宋体" w:cs="Times New Roman"/>
                      <w:sz w:val="21"/>
                      <w:szCs w:val="21"/>
                    </w:rPr>
                    <w:t>NaNO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42</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无水亚硫酸钾(K</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O</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S)</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43</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氯化亚锡(Sn</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Cl</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44</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硫酸</w:t>
                  </w:r>
                  <w:r>
                    <w:rPr>
                      <w:rFonts w:hint="eastAsia" w:ascii="Times New Roman" w:hAnsi="Times New Roman" w:eastAsia="宋体" w:cs="Times New Roman"/>
                      <w:kern w:val="0"/>
                      <w:sz w:val="21"/>
                      <w:szCs w:val="21"/>
                      <w:lang w:val="en-US" w:eastAsia="zh-CN"/>
                    </w:rPr>
                    <w:t>亚</w:t>
                  </w:r>
                  <w:r>
                    <w:rPr>
                      <w:rFonts w:hint="default" w:ascii="Times New Roman" w:hAnsi="Times New Roman" w:eastAsia="宋体" w:cs="Times New Roman"/>
                      <w:kern w:val="0"/>
                      <w:sz w:val="21"/>
                      <w:szCs w:val="21"/>
                    </w:rPr>
                    <w:t>铁铵(</w:t>
                  </w:r>
                  <w:r>
                    <w:rPr>
                      <w:rFonts w:hint="default" w:ascii="Times New Roman" w:hAnsi="Times New Roman" w:eastAsia="宋体" w:cs="Times New Roman"/>
                      <w:sz w:val="21"/>
                      <w:szCs w:val="21"/>
                    </w:rPr>
                    <w:t>NH</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Fe(SO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4瓶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45</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无水亚硫酸钠(</w:t>
                  </w:r>
                  <w:r>
                    <w:rPr>
                      <w:rFonts w:hint="default" w:ascii="Times New Roman" w:hAnsi="Times New Roman" w:eastAsia="宋体" w:cs="Times New Roman"/>
                      <w:sz w:val="21"/>
                      <w:szCs w:val="21"/>
                    </w:rPr>
                    <w:t>Na</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46</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铬酸钾(</w:t>
                  </w:r>
                  <w:r>
                    <w:rPr>
                      <w:rFonts w:hint="default" w:ascii="Times New Roman" w:hAnsi="Times New Roman" w:eastAsia="宋体" w:cs="Times New Roman"/>
                      <w:sz w:val="21"/>
                      <w:szCs w:val="21"/>
                    </w:rPr>
                    <w:t>KCrO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47</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硝酸铜</w:t>
                  </w:r>
                  <w:r>
                    <w:rPr>
                      <w:rFonts w:hint="eastAsia" w:ascii="Times New Roman" w:hAnsi="Times New Roman" w:eastAsia="宋体" w:cs="Times New Roman"/>
                      <w:kern w:val="0"/>
                      <w:sz w:val="21"/>
                      <w:szCs w:val="21"/>
                      <w:lang w:val="en-US" w:eastAsia="zh-CN"/>
                    </w:rPr>
                    <w:t>三</w:t>
                  </w:r>
                  <w:r>
                    <w:rPr>
                      <w:rFonts w:hint="default" w:ascii="Times New Roman" w:hAnsi="Times New Roman" w:eastAsia="宋体" w:cs="Times New Roman"/>
                      <w:kern w:val="0"/>
                      <w:sz w:val="21"/>
                      <w:szCs w:val="21"/>
                    </w:rPr>
                    <w:t>水(</w:t>
                  </w:r>
                  <w:r>
                    <w:rPr>
                      <w:rFonts w:hint="default" w:ascii="Times New Roman" w:hAnsi="Times New Roman" w:eastAsia="宋体" w:cs="Times New Roman"/>
                      <w:sz w:val="21"/>
                      <w:szCs w:val="21"/>
                    </w:rPr>
                    <w:t>Cu(NO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48</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PAN（</w:t>
                  </w:r>
                  <w:r>
                    <w:rPr>
                      <w:rFonts w:hint="default" w:ascii="Times New Roman" w:hAnsi="Times New Roman" w:eastAsia="宋体" w:cs="Times New Roman"/>
                      <w:sz w:val="21"/>
                      <w:szCs w:val="21"/>
                    </w:rPr>
                    <w:t>CH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C(O)OONO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49</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甲基红(C</w:t>
                  </w:r>
                  <w:r>
                    <w:rPr>
                      <w:rFonts w:hint="default" w:ascii="Times New Roman" w:hAnsi="Times New Roman" w:eastAsia="宋体" w:cs="Times New Roman"/>
                      <w:kern w:val="0"/>
                      <w:sz w:val="21"/>
                      <w:szCs w:val="21"/>
                      <w:vertAlign w:val="subscript"/>
                    </w:rPr>
                    <w:t>15</w:t>
                  </w:r>
                  <w:r>
                    <w:rPr>
                      <w:rFonts w:hint="default" w:ascii="Times New Roman" w:hAnsi="Times New Roman" w:eastAsia="宋体" w:cs="Times New Roman"/>
                      <w:kern w:val="0"/>
                      <w:sz w:val="21"/>
                      <w:szCs w:val="21"/>
                    </w:rPr>
                    <w:t>H</w:t>
                  </w:r>
                  <w:r>
                    <w:rPr>
                      <w:rFonts w:hint="default" w:ascii="Times New Roman" w:hAnsi="Times New Roman" w:eastAsia="宋体" w:cs="Times New Roman"/>
                      <w:kern w:val="0"/>
                      <w:sz w:val="21"/>
                      <w:szCs w:val="21"/>
                      <w:vertAlign w:val="subscript"/>
                    </w:rPr>
                    <w:t>15</w:t>
                  </w:r>
                  <w:r>
                    <w:rPr>
                      <w:rFonts w:hint="default" w:ascii="Times New Roman" w:hAnsi="Times New Roman" w:eastAsia="宋体" w:cs="Times New Roman"/>
                      <w:kern w:val="0"/>
                      <w:sz w:val="21"/>
                      <w:szCs w:val="21"/>
                    </w:rPr>
                    <w:t>N</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O</w:t>
                  </w:r>
                  <w:r>
                    <w:rPr>
                      <w:rFonts w:hint="default" w:ascii="Times New Roman" w:hAnsi="Times New Roman" w:eastAsia="宋体" w:cs="Times New Roman"/>
                      <w:kern w:val="0"/>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盐酸羟胺（</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NO.HCl</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51</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碘酸钾(KIO</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52</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溴酸钾(KBrO</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30</w:t>
                  </w:r>
                  <w:r>
                    <w:rPr>
                      <w:rFonts w:hint="default" w:ascii="Times New Roman" w:hAnsi="Times New Roman" w:eastAsia="宋体" w:cs="Times New Roman"/>
                      <w:sz w:val="21"/>
                      <w:szCs w:val="21"/>
                    </w:rPr>
                    <w:t>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53</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硝酸钾(KNO</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54</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过锰酸钾(</w:t>
                  </w:r>
                  <w:r>
                    <w:rPr>
                      <w:rFonts w:hint="default" w:ascii="Times New Roman" w:hAnsi="Times New Roman" w:eastAsia="宋体" w:cs="Times New Roman"/>
                      <w:sz w:val="21"/>
                      <w:szCs w:val="21"/>
                    </w:rPr>
                    <w:t>K</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8</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55</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酒石酸(</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56</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硫酸铝钾(</w:t>
                  </w:r>
                  <w:r>
                    <w:rPr>
                      <w:rFonts w:hint="default" w:ascii="Times New Roman" w:hAnsi="Times New Roman" w:eastAsia="宋体" w:cs="Times New Roman"/>
                      <w:sz w:val="21"/>
                      <w:szCs w:val="21"/>
                    </w:rPr>
                    <w:t>KAl(SO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57</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乙酸钠(</w:t>
                  </w:r>
                  <w:r>
                    <w:rPr>
                      <w:rFonts w:hint="default" w:ascii="Times New Roman" w:hAnsi="Times New Roman" w:eastAsia="宋体" w:cs="Times New Roman"/>
                      <w:sz w:val="21"/>
                      <w:szCs w:val="21"/>
                    </w:rPr>
                    <w:t>CH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COONa</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58</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氟化钠(</w:t>
                  </w:r>
                  <w:r>
                    <w:rPr>
                      <w:rFonts w:hint="default" w:ascii="Times New Roman" w:hAnsi="Times New Roman" w:eastAsia="宋体" w:cs="Times New Roman"/>
                      <w:sz w:val="21"/>
                      <w:szCs w:val="21"/>
                    </w:rPr>
                    <w:t>Na</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F</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59</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硝酸铜(</w:t>
                  </w:r>
                  <w:r>
                    <w:rPr>
                      <w:rFonts w:hint="default" w:ascii="Times New Roman" w:hAnsi="Times New Roman" w:eastAsia="宋体" w:cs="Times New Roman"/>
                      <w:sz w:val="21"/>
                      <w:szCs w:val="21"/>
                    </w:rPr>
                    <w:t>Cu(NO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60</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乙酸铵(</w:t>
                  </w:r>
                  <w:r>
                    <w:rPr>
                      <w:rFonts w:hint="default" w:ascii="Times New Roman" w:hAnsi="Times New Roman" w:eastAsia="宋体" w:cs="Times New Roman"/>
                      <w:sz w:val="21"/>
                      <w:szCs w:val="21"/>
                    </w:rPr>
                    <w:t>CH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COONH</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61</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聚乙烯酸</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62</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氢氧化钠(</w:t>
                  </w:r>
                  <w:r>
                    <w:rPr>
                      <w:rFonts w:hint="default" w:ascii="Times New Roman" w:hAnsi="Times New Roman" w:eastAsia="宋体" w:cs="Times New Roman"/>
                      <w:sz w:val="21"/>
                      <w:szCs w:val="21"/>
                    </w:rPr>
                    <w:t>NaOH</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AR/GR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4瓶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63</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氢氧化钾(</w:t>
                  </w:r>
                  <w:r>
                    <w:rPr>
                      <w:rFonts w:hint="default" w:ascii="Times New Roman" w:hAnsi="Times New Roman" w:eastAsia="宋体" w:cs="Times New Roman"/>
                      <w:sz w:val="21"/>
                      <w:szCs w:val="21"/>
                    </w:rPr>
                    <w:t>KOH</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4瓶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64</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氢氧化钙(</w:t>
                  </w:r>
                  <w:r>
                    <w:rPr>
                      <w:rFonts w:hint="default" w:ascii="Times New Roman" w:hAnsi="Times New Roman" w:eastAsia="宋体" w:cs="Times New Roman"/>
                      <w:sz w:val="21"/>
                      <w:szCs w:val="21"/>
                    </w:rPr>
                    <w:t>Ca(OH)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65</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无水氯化钙(</w:t>
                  </w:r>
                  <w:r>
                    <w:rPr>
                      <w:rFonts w:hint="default" w:ascii="Times New Roman" w:hAnsi="Times New Roman" w:eastAsia="宋体" w:cs="Times New Roman"/>
                      <w:sz w:val="21"/>
                      <w:szCs w:val="21"/>
                    </w:rPr>
                    <w:t>CaCl</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66</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vertAlign w:val="subscript"/>
                    </w:rPr>
                  </w:pPr>
                  <w:r>
                    <w:rPr>
                      <w:rFonts w:hint="default" w:ascii="Times New Roman" w:hAnsi="Times New Roman" w:eastAsia="宋体" w:cs="Times New Roman"/>
                      <w:sz w:val="21"/>
                      <w:szCs w:val="21"/>
                    </w:rPr>
                    <w:t>硅酸镁（MgSiO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67</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无水硫酸钠（Na</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68</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硫酸银（Ag</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120g/a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CP</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69</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vertAlign w:val="subscript"/>
                    </w:rPr>
                  </w:pPr>
                  <w:r>
                    <w:rPr>
                      <w:rFonts w:hint="default" w:ascii="Times New Roman" w:hAnsi="Times New Roman" w:eastAsia="宋体" w:cs="Times New Roman"/>
                      <w:sz w:val="21"/>
                      <w:szCs w:val="21"/>
                    </w:rPr>
                    <w:t>硫酸汞（HgSO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15g/a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r>
                    <w:rPr>
                      <w:rFonts w:hint="eastAsia"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CP</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1</w:t>
                  </w:r>
                  <w:r>
                    <w:rPr>
                      <w:rFonts w:hint="eastAsia" w:ascii="Times New Roman" w:hAnsi="Times New Roman" w:eastAsia="宋体" w:cs="Times New Roman"/>
                      <w:sz w:val="21"/>
                      <w:szCs w:val="21"/>
                      <w:lang w:val="en-US" w:eastAsia="zh-CN"/>
                    </w:rPr>
                    <w:t>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70</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重铬酸钾（K</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Cr</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7</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25g/a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25g/a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2瓶</w:t>
                  </w:r>
                </w:p>
              </w:tc>
              <w:tc>
                <w:tcPr>
                  <w:tcW w:w="413"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cs="Times New Roman"/>
                      <w:vertAlign w:val="baseline"/>
                      <w:lang w:val="en-US" w:eastAsia="zh-CN"/>
                    </w:rPr>
                    <w:t>1</w:t>
                  </w:r>
                  <w:r>
                    <w:rPr>
                      <w:rFonts w:hint="default" w:ascii="Times New Roman" w:hAnsi="Times New Roman" w:eastAsia="宋体" w:cs="Times New Roman"/>
                      <w:sz w:val="21"/>
                      <w:szCs w:val="21"/>
                    </w:rPr>
                    <w:t>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71</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硫酸亚铁铵（(NH</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Fe(SO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160g/a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r>
                    <w:rPr>
                      <w:rFonts w:hint="eastAsia"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4瓶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72</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1，10-菲绕啉</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73</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七水合硫酸亚铁</w:t>
                  </w:r>
                </w:p>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（FeSO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 xml:space="preserve"> 7H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20</w:t>
                  </w:r>
                  <w:r>
                    <w:rPr>
                      <w:rFonts w:hint="default" w:ascii="Times New Roman" w:hAnsi="Times New Roman" w:eastAsia="宋体" w:cs="Times New Roman"/>
                      <w:sz w:val="21"/>
                      <w:szCs w:val="21"/>
                    </w:rPr>
                    <w:t>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74</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酒石酸钾钠（KNaC</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.4H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450g/a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450g/a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6瓶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75</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硫代硫酸钠（Na</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0.35g/a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0.35g/a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76</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抗坏血酸（C</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8</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5瓶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77</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钼酸铵（(NH</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Mo</w:t>
                  </w:r>
                  <w:r>
                    <w:rPr>
                      <w:rFonts w:hint="default" w:ascii="Times New Roman" w:hAnsi="Times New Roman" w:eastAsia="宋体" w:cs="Times New Roman"/>
                      <w:sz w:val="21"/>
                      <w:szCs w:val="21"/>
                      <w:vertAlign w:val="subscript"/>
                    </w:rPr>
                    <w:t>7</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24</w:t>
                  </w:r>
                  <w:r>
                    <w:rPr>
                      <w:rFonts w:hint="default" w:ascii="Times New Roman" w:hAnsi="Times New Roman" w:eastAsia="宋体" w:cs="Times New Roman"/>
                      <w:sz w:val="21"/>
                      <w:szCs w:val="21"/>
                    </w:rPr>
                    <w:t>.4H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78</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酒石酸锑钾（KSbC</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7</w:t>
                  </w:r>
                  <w:r>
                    <w:rPr>
                      <w:rFonts w:hint="default" w:ascii="Times New Roman" w:hAnsi="Times New Roman" w:eastAsia="宋体" w:cs="Times New Roman"/>
                      <w:sz w:val="21"/>
                      <w:szCs w:val="21"/>
                    </w:rPr>
                    <w:t>.1/2 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79</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溴百里酚蓝指示剂</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80</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轻质氧化镁（MgO）</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1袋</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81</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氯化钠（NaCl）</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500g/瓶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5瓶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82</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9" w:name="_Toc4098"/>
                  <w:r>
                    <w:rPr>
                      <w:rFonts w:hint="default" w:ascii="Times New Roman" w:hAnsi="Times New Roman" w:eastAsia="宋体" w:cs="Times New Roman"/>
                      <w:sz w:val="21"/>
                      <w:szCs w:val="21"/>
                    </w:rPr>
                    <w:t>磷酸二氢钾（KH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PO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bookmarkEnd w:id="9"/>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10" w:name="_Toc26402"/>
                  <w:r>
                    <w:rPr>
                      <w:rFonts w:hint="default" w:ascii="Times New Roman" w:hAnsi="Times New Roman" w:eastAsia="宋体" w:cs="Times New Roman"/>
                      <w:sz w:val="21"/>
                      <w:szCs w:val="21"/>
                    </w:rPr>
                    <w:t>500g/瓶</w:t>
                  </w:r>
                  <w:bookmarkEnd w:id="10"/>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11" w:name="_Toc20039"/>
                  <w:r>
                    <w:rPr>
                      <w:rFonts w:hint="default" w:ascii="Times New Roman" w:hAnsi="Times New Roman" w:eastAsia="宋体" w:cs="Times New Roman"/>
                      <w:sz w:val="21"/>
                      <w:szCs w:val="21"/>
                    </w:rPr>
                    <w:t>50g/a</w:t>
                  </w:r>
                </w:p>
                <w:bookmarkEnd w:id="11"/>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12" w:name="_Toc5372"/>
                  <w:r>
                    <w:rPr>
                      <w:rFonts w:hint="default" w:ascii="Times New Roman" w:hAnsi="Times New Roman" w:eastAsia="宋体" w:cs="Times New Roman"/>
                      <w:sz w:val="21"/>
                      <w:szCs w:val="21"/>
                    </w:rPr>
                    <w:t>固态</w:t>
                  </w:r>
                  <w:bookmarkEnd w:id="12"/>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13" w:name="_Toc18278"/>
                  <w:r>
                    <w:rPr>
                      <w:rFonts w:hint="default" w:ascii="Times New Roman" w:hAnsi="Times New Roman" w:eastAsia="宋体" w:cs="Times New Roman"/>
                      <w:sz w:val="21"/>
                      <w:szCs w:val="21"/>
                    </w:rPr>
                    <w:t>1瓶</w:t>
                  </w:r>
                  <w:bookmarkEnd w:id="13"/>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83</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14" w:name="_Toc27576"/>
                  <w:r>
                    <w:rPr>
                      <w:rFonts w:hint="default" w:ascii="Times New Roman" w:hAnsi="Times New Roman" w:eastAsia="宋体" w:cs="Times New Roman"/>
                      <w:sz w:val="21"/>
                      <w:szCs w:val="21"/>
                    </w:rPr>
                    <w:t>磷酸氢二钾（K</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HPO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bookmarkEnd w:id="14"/>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15" w:name="_Toc7805"/>
                  <w:r>
                    <w:rPr>
                      <w:rFonts w:hint="default" w:ascii="Times New Roman" w:hAnsi="Times New Roman" w:eastAsia="宋体" w:cs="Times New Roman"/>
                      <w:sz w:val="21"/>
                      <w:szCs w:val="21"/>
                    </w:rPr>
                    <w:t>500g/瓶</w:t>
                  </w:r>
                  <w:bookmarkEnd w:id="15"/>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16" w:name="_Toc28592"/>
                  <w:r>
                    <w:rPr>
                      <w:rFonts w:hint="default" w:ascii="Times New Roman" w:hAnsi="Times New Roman" w:eastAsia="宋体" w:cs="Times New Roman"/>
                      <w:sz w:val="21"/>
                      <w:szCs w:val="21"/>
                    </w:rPr>
                    <w:t>50g/a</w:t>
                  </w:r>
                </w:p>
                <w:bookmarkEnd w:id="16"/>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50g/a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17" w:name="_Toc9605"/>
                  <w:r>
                    <w:rPr>
                      <w:rFonts w:hint="default" w:ascii="Times New Roman" w:hAnsi="Times New Roman" w:eastAsia="宋体" w:cs="Times New Roman"/>
                      <w:sz w:val="21"/>
                      <w:szCs w:val="21"/>
                    </w:rPr>
                    <w:t>固态</w:t>
                  </w:r>
                  <w:bookmarkEnd w:id="17"/>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18" w:name="_Toc5613"/>
                  <w:r>
                    <w:rPr>
                      <w:rFonts w:hint="default" w:ascii="Times New Roman" w:hAnsi="Times New Roman" w:eastAsia="宋体" w:cs="Times New Roman"/>
                      <w:sz w:val="21"/>
                      <w:szCs w:val="21"/>
                    </w:rPr>
                    <w:t>1瓶</w:t>
                  </w:r>
                  <w:bookmarkEnd w:id="18"/>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84</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19" w:name="_Toc9328"/>
                  <w:r>
                    <w:rPr>
                      <w:rFonts w:hint="default" w:ascii="Times New Roman" w:hAnsi="Times New Roman" w:eastAsia="宋体" w:cs="Times New Roman"/>
                      <w:sz w:val="21"/>
                      <w:szCs w:val="21"/>
                    </w:rPr>
                    <w:t>活性炭</w:t>
                  </w:r>
                  <w:bookmarkEnd w:id="19"/>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20" w:name="_Toc22883"/>
                  <w:r>
                    <w:rPr>
                      <w:rFonts w:hint="default" w:ascii="Times New Roman" w:hAnsi="Times New Roman" w:eastAsia="宋体" w:cs="Times New Roman"/>
                      <w:sz w:val="21"/>
                      <w:szCs w:val="21"/>
                    </w:rPr>
                    <w:t>1Kg/袋</w:t>
                  </w:r>
                  <w:bookmarkEnd w:id="20"/>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21" w:name="_Toc23046"/>
                  <w:r>
                    <w:rPr>
                      <w:rFonts w:hint="default" w:ascii="Times New Roman" w:hAnsi="Times New Roman" w:eastAsia="宋体" w:cs="Times New Roman"/>
                      <w:sz w:val="21"/>
                      <w:szCs w:val="21"/>
                    </w:rPr>
                    <w:t>1kg/a</w:t>
                  </w:r>
                </w:p>
                <w:bookmarkEnd w:id="21"/>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1kg/a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22" w:name="_Toc30422"/>
                  <w:r>
                    <w:rPr>
                      <w:rFonts w:hint="default" w:ascii="Times New Roman" w:hAnsi="Times New Roman" w:eastAsia="宋体" w:cs="Times New Roman"/>
                      <w:sz w:val="21"/>
                      <w:szCs w:val="21"/>
                    </w:rPr>
                    <w:t>固态</w:t>
                  </w:r>
                  <w:bookmarkEnd w:id="22"/>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23" w:name="_Toc3246"/>
                  <w:r>
                    <w:rPr>
                      <w:rFonts w:hint="default" w:ascii="Times New Roman" w:hAnsi="Times New Roman" w:eastAsia="宋体" w:cs="Times New Roman"/>
                      <w:sz w:val="21"/>
                      <w:szCs w:val="21"/>
                    </w:rPr>
                    <w:t>1袋</w:t>
                  </w:r>
                  <w:bookmarkEnd w:id="23"/>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1袋</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85</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24" w:name="_Toc27898"/>
                  <w:r>
                    <w:rPr>
                      <w:rFonts w:hint="default" w:ascii="Times New Roman" w:hAnsi="Times New Roman" w:eastAsia="宋体" w:cs="Times New Roman"/>
                      <w:sz w:val="21"/>
                      <w:szCs w:val="21"/>
                    </w:rPr>
                    <w:t>高锰酸钾（KMnO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bookmarkEnd w:id="24"/>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25" w:name="_Toc29328"/>
                  <w:r>
                    <w:rPr>
                      <w:rFonts w:hint="default" w:ascii="Times New Roman" w:hAnsi="Times New Roman" w:eastAsia="宋体" w:cs="Times New Roman"/>
                      <w:sz w:val="21"/>
                      <w:szCs w:val="21"/>
                    </w:rPr>
                    <w:t>500g/瓶</w:t>
                  </w:r>
                  <w:bookmarkEnd w:id="25"/>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26" w:name="_Toc2706"/>
                  <w:r>
                    <w:rPr>
                      <w:rFonts w:hint="default" w:ascii="Times New Roman" w:hAnsi="Times New Roman" w:eastAsia="宋体" w:cs="Times New Roman"/>
                      <w:sz w:val="21"/>
                      <w:szCs w:val="21"/>
                    </w:rPr>
                    <w:t>60g/a</w:t>
                  </w:r>
                </w:p>
                <w:bookmarkEnd w:id="26"/>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60g/a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27" w:name="_Toc13230"/>
                  <w:r>
                    <w:rPr>
                      <w:rFonts w:hint="default" w:ascii="Times New Roman" w:hAnsi="Times New Roman" w:eastAsia="宋体" w:cs="Times New Roman"/>
                      <w:sz w:val="21"/>
                      <w:szCs w:val="21"/>
                    </w:rPr>
                    <w:t>固态</w:t>
                  </w:r>
                  <w:bookmarkEnd w:id="27"/>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28" w:name="_Toc25248"/>
                  <w:r>
                    <w:rPr>
                      <w:rFonts w:hint="default" w:ascii="Times New Roman" w:hAnsi="Times New Roman" w:eastAsia="宋体" w:cs="Times New Roman"/>
                      <w:sz w:val="21"/>
                      <w:szCs w:val="21"/>
                    </w:rPr>
                    <w:t>4瓶</w:t>
                  </w:r>
                  <w:bookmarkEnd w:id="28"/>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86</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29" w:name="_Toc7658"/>
                  <w:r>
                    <w:rPr>
                      <w:rFonts w:hint="default" w:ascii="Times New Roman" w:hAnsi="Times New Roman" w:eastAsia="宋体" w:cs="Times New Roman"/>
                      <w:sz w:val="21"/>
                      <w:szCs w:val="21"/>
                    </w:rPr>
                    <w:t>酚酞（C</w:t>
                  </w:r>
                  <w:r>
                    <w:rPr>
                      <w:rFonts w:hint="default" w:ascii="Times New Roman" w:hAnsi="Times New Roman" w:eastAsia="宋体" w:cs="Times New Roman"/>
                      <w:sz w:val="21"/>
                      <w:szCs w:val="21"/>
                      <w:vertAlign w:val="subscript"/>
                    </w:rPr>
                    <w:t>20</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14</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bookmarkEnd w:id="29"/>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30" w:name="_Toc32475"/>
                  <w:r>
                    <w:rPr>
                      <w:rFonts w:hint="default" w:ascii="Times New Roman" w:hAnsi="Times New Roman" w:eastAsia="宋体" w:cs="Times New Roman"/>
                      <w:sz w:val="21"/>
                      <w:szCs w:val="21"/>
                    </w:rPr>
                    <w:t>500g/瓶</w:t>
                  </w:r>
                  <w:bookmarkEnd w:id="30"/>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31" w:name="_Toc8721"/>
                  <w:r>
                    <w:rPr>
                      <w:rFonts w:hint="default" w:ascii="Times New Roman" w:hAnsi="Times New Roman" w:eastAsia="宋体" w:cs="Times New Roman"/>
                      <w:sz w:val="21"/>
                      <w:szCs w:val="21"/>
                    </w:rPr>
                    <w:t>10g/a</w:t>
                  </w:r>
                </w:p>
                <w:bookmarkEnd w:id="31"/>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10g/a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32" w:name="_Toc11011"/>
                  <w:r>
                    <w:rPr>
                      <w:rFonts w:hint="default" w:ascii="Times New Roman" w:hAnsi="Times New Roman" w:eastAsia="宋体" w:cs="Times New Roman"/>
                      <w:sz w:val="21"/>
                      <w:szCs w:val="21"/>
                    </w:rPr>
                    <w:t>固态</w:t>
                  </w:r>
                  <w:bookmarkEnd w:id="32"/>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33" w:name="_Toc10848"/>
                  <w:r>
                    <w:rPr>
                      <w:rFonts w:hint="default" w:ascii="Times New Roman" w:hAnsi="Times New Roman" w:eastAsia="宋体" w:cs="Times New Roman"/>
                      <w:sz w:val="21"/>
                      <w:szCs w:val="21"/>
                    </w:rPr>
                    <w:t>1瓶</w:t>
                  </w:r>
                  <w:bookmarkEnd w:id="33"/>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87</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34" w:name="_Toc18394"/>
                  <w:r>
                    <w:rPr>
                      <w:rFonts w:hint="default" w:ascii="Times New Roman" w:hAnsi="Times New Roman" w:eastAsia="宋体" w:cs="Times New Roman"/>
                      <w:sz w:val="21"/>
                      <w:szCs w:val="21"/>
                    </w:rPr>
                    <w:t>碘化钾（KI）</w:t>
                  </w:r>
                  <w:bookmarkEnd w:id="34"/>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35" w:name="_Toc7719"/>
                  <w:r>
                    <w:rPr>
                      <w:rFonts w:hint="default" w:ascii="Times New Roman" w:hAnsi="Times New Roman" w:eastAsia="宋体" w:cs="Times New Roman"/>
                      <w:sz w:val="21"/>
                      <w:szCs w:val="21"/>
                    </w:rPr>
                    <w:t>500g/瓶</w:t>
                  </w:r>
                  <w:bookmarkEnd w:id="35"/>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36" w:name="_Toc19136"/>
                  <w:r>
                    <w:rPr>
                      <w:rFonts w:hint="default" w:ascii="Times New Roman" w:hAnsi="Times New Roman" w:eastAsia="宋体" w:cs="Times New Roman"/>
                      <w:sz w:val="21"/>
                      <w:szCs w:val="21"/>
                    </w:rPr>
                    <w:t>20g/a</w:t>
                  </w:r>
                </w:p>
                <w:bookmarkEnd w:id="36"/>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20g/a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37" w:name="_Toc17257"/>
                  <w:r>
                    <w:rPr>
                      <w:rFonts w:hint="default" w:ascii="Times New Roman" w:hAnsi="Times New Roman" w:eastAsia="宋体" w:cs="Times New Roman"/>
                      <w:sz w:val="21"/>
                      <w:szCs w:val="21"/>
                    </w:rPr>
                    <w:t>固态</w:t>
                  </w:r>
                  <w:bookmarkEnd w:id="37"/>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38" w:name="_Toc30528"/>
                  <w:r>
                    <w:rPr>
                      <w:rFonts w:hint="default" w:ascii="Times New Roman" w:hAnsi="Times New Roman" w:eastAsia="宋体" w:cs="Times New Roman"/>
                      <w:sz w:val="21"/>
                      <w:szCs w:val="21"/>
                    </w:rPr>
                    <w:t>1瓶</w:t>
                  </w:r>
                  <w:bookmarkEnd w:id="38"/>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88</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highlight w:val="yellow"/>
                    </w:rPr>
                  </w:pPr>
                  <w:bookmarkStart w:id="39" w:name="_Toc30389"/>
                  <w:r>
                    <w:rPr>
                      <w:rFonts w:hint="default" w:ascii="Times New Roman" w:hAnsi="Times New Roman" w:eastAsia="宋体" w:cs="Times New Roman"/>
                      <w:sz w:val="21"/>
                      <w:szCs w:val="21"/>
                    </w:rPr>
                    <w:t>无水硫酸钠（Na</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bookmarkEnd w:id="39"/>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40" w:name="_Toc2587"/>
                  <w:r>
                    <w:rPr>
                      <w:rFonts w:hint="default" w:ascii="Times New Roman" w:hAnsi="Times New Roman" w:eastAsia="宋体" w:cs="Times New Roman"/>
                      <w:sz w:val="21"/>
                      <w:szCs w:val="21"/>
                    </w:rPr>
                    <w:t>500g/瓶</w:t>
                  </w:r>
                  <w:bookmarkEnd w:id="40"/>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41" w:name="_Toc12936"/>
                  <w:r>
                    <w:rPr>
                      <w:rFonts w:hint="default" w:ascii="Times New Roman" w:hAnsi="Times New Roman" w:eastAsia="宋体" w:cs="Times New Roman"/>
                      <w:sz w:val="21"/>
                      <w:szCs w:val="21"/>
                    </w:rPr>
                    <w:t>100g/a</w:t>
                  </w:r>
                </w:p>
                <w:bookmarkEnd w:id="41"/>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100g/a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42" w:name="_Toc2450"/>
                  <w:r>
                    <w:rPr>
                      <w:rFonts w:hint="default" w:ascii="Times New Roman" w:hAnsi="Times New Roman" w:eastAsia="宋体" w:cs="Times New Roman"/>
                      <w:sz w:val="21"/>
                      <w:szCs w:val="21"/>
                    </w:rPr>
                    <w:t>固态</w:t>
                  </w:r>
                  <w:bookmarkEnd w:id="42"/>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10瓶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89</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浓硫酸（H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SO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液体</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98%含量</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7瓶</w:t>
                  </w:r>
                </w:p>
              </w:tc>
              <w:tc>
                <w:tcPr>
                  <w:tcW w:w="413" w:type="pct"/>
                  <w:noWrap/>
                  <w:vAlign w:val="center"/>
                </w:tcPr>
                <w:p>
                  <w:pPr>
                    <w:adjustRightInd w:val="0"/>
                    <w:snapToGrid w:val="0"/>
                    <w:jc w:val="center"/>
                    <w:rPr>
                      <w:rFonts w:hint="default" w:ascii="Times New Roman" w:hAnsi="Times New Roman" w:eastAsia="宋体" w:cs="Times New Roman"/>
                      <w:sz w:val="21"/>
                      <w:szCs w:val="21"/>
                      <w:highlight w:val="yellow"/>
                    </w:rPr>
                  </w:pPr>
                  <w:r>
                    <w:rPr>
                      <w:rFonts w:hint="default" w:ascii="Times New Roman" w:hAnsi="Times New Roman" w:cs="Times New Roman"/>
                      <w:vertAlign w:val="baseline"/>
                      <w:lang w:val="en-US" w:eastAsia="zh-CN"/>
                    </w:rPr>
                    <w:t>40</w:t>
                  </w:r>
                  <w:r>
                    <w:rPr>
                      <w:rFonts w:hint="default" w:ascii="Times New Roman" w:hAnsi="Times New Roman" w:eastAsia="宋体" w:cs="Times New Roman"/>
                      <w:sz w:val="21"/>
                      <w:szCs w:val="21"/>
                    </w:rPr>
                    <w:t>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highlight w:val="yellow"/>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90</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vertAlign w:val="subscript"/>
                    </w:rPr>
                  </w:pPr>
                  <w:r>
                    <w:rPr>
                      <w:rFonts w:hint="default" w:ascii="Times New Roman" w:hAnsi="Times New Roman" w:eastAsia="宋体" w:cs="Times New Roman"/>
                      <w:sz w:val="21"/>
                      <w:szCs w:val="21"/>
                    </w:rPr>
                    <w:t>四氯化碳（CCl</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2.5L/a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2.5L/a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液体</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91</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纳氏试剂</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0.9L/a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0.9L/a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92</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浓盐酸（HCl）</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37%含量</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5瓶</w:t>
                  </w:r>
                </w:p>
              </w:tc>
              <w:tc>
                <w:tcPr>
                  <w:tcW w:w="413" w:type="pct"/>
                  <w:noWrap/>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20</w:t>
                  </w:r>
                  <w:r>
                    <w:rPr>
                      <w:rFonts w:hint="default" w:ascii="Times New Roman" w:hAnsi="Times New Roman" w:eastAsia="宋体" w:cs="Times New Roman"/>
                      <w:sz w:val="21"/>
                      <w:szCs w:val="21"/>
                    </w:rPr>
                    <w:t>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highlight w:val="yellow"/>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93</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浓硝酸（HNO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8L/a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7.5</w:t>
                  </w:r>
                  <w:r>
                    <w:rPr>
                      <w:rFonts w:hint="default" w:ascii="Times New Roman" w:hAnsi="Times New Roman" w:eastAsia="宋体" w:cs="Times New Roman"/>
                      <w:sz w:val="21"/>
                      <w:szCs w:val="21"/>
                    </w:rPr>
                    <w:t>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65%含量</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3瓶</w:t>
                  </w:r>
                </w:p>
              </w:tc>
              <w:tc>
                <w:tcPr>
                  <w:tcW w:w="413" w:type="pct"/>
                  <w:noWrap/>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10</w:t>
                  </w:r>
                  <w:r>
                    <w:rPr>
                      <w:rFonts w:hint="default" w:ascii="Times New Roman" w:hAnsi="Times New Roman" w:eastAsia="宋体" w:cs="Times New Roman"/>
                      <w:sz w:val="21"/>
                      <w:szCs w:val="21"/>
                    </w:rPr>
                    <w:t>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94</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磷酸（H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PO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0.5L/a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0.5L/a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95</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氨水（NH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0.5L/a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0.5L/a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32%含量</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96</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30%过氧化氢（H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0.03L/a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0.03L/a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cs="Times New Roman"/>
                      <w:vertAlign w:val="baseline"/>
                      <w:lang w:val="en-US" w:eastAsia="zh-CN"/>
                    </w:rPr>
                    <w:t>3</w:t>
                  </w:r>
                  <w:r>
                    <w:rPr>
                      <w:rFonts w:hint="default" w:ascii="Times New Roman" w:hAnsi="Times New Roman" w:eastAsia="宋体" w:cs="Times New Roman"/>
                      <w:sz w:val="21"/>
                      <w:szCs w:val="21"/>
                    </w:rPr>
                    <w:t>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97</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43" w:name="_Toc27381"/>
                  <w:r>
                    <w:rPr>
                      <w:rFonts w:hint="default" w:ascii="Times New Roman" w:hAnsi="Times New Roman" w:eastAsia="宋体" w:cs="Times New Roman"/>
                      <w:sz w:val="21"/>
                      <w:szCs w:val="21"/>
                    </w:rPr>
                    <w:t>二硫化碳（CS</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w:t>
                  </w:r>
                  <w:bookmarkEnd w:id="43"/>
                </w:p>
              </w:tc>
              <w:tc>
                <w:tcPr>
                  <w:tcW w:w="499" w:type="pct"/>
                  <w:noWrap/>
                  <w:tcMar>
                    <w:top w:w="0" w:type="dxa"/>
                    <w:left w:w="108" w:type="dxa"/>
                    <w:bottom w:w="0" w:type="dxa"/>
                    <w:right w:w="108" w:type="dxa"/>
                  </w:tcMar>
                  <w:vAlign w:val="center"/>
                </w:tcPr>
                <w:p>
                  <w:pPr>
                    <w:adjustRightInd w:val="0"/>
                    <w:snapToGrid w:val="0"/>
                    <w:outlineLvl w:val="1"/>
                    <w:rPr>
                      <w:rFonts w:hint="default" w:ascii="Times New Roman" w:hAnsi="Times New Roman" w:eastAsia="宋体" w:cs="Times New Roman"/>
                      <w:sz w:val="21"/>
                      <w:szCs w:val="21"/>
                    </w:rPr>
                  </w:pPr>
                  <w:bookmarkStart w:id="44" w:name="_Toc19700"/>
                  <w:r>
                    <w:rPr>
                      <w:rFonts w:hint="default" w:ascii="Times New Roman" w:hAnsi="Times New Roman" w:eastAsia="宋体" w:cs="Times New Roman"/>
                      <w:sz w:val="21"/>
                      <w:szCs w:val="21"/>
                    </w:rPr>
                    <w:t>500ml/瓶</w:t>
                  </w:r>
                  <w:bookmarkEnd w:id="44"/>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45" w:name="_Toc10096"/>
                  <w:r>
                    <w:rPr>
                      <w:rFonts w:hint="default" w:ascii="Times New Roman" w:hAnsi="Times New Roman" w:eastAsia="宋体" w:cs="Times New Roman"/>
                      <w:sz w:val="21"/>
                      <w:szCs w:val="21"/>
                    </w:rPr>
                    <w:t>15L/a</w:t>
                  </w:r>
                </w:p>
                <w:bookmarkEnd w:id="45"/>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15L/a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46" w:name="_Toc7620"/>
                  <w:r>
                    <w:rPr>
                      <w:rFonts w:hint="default" w:ascii="Times New Roman" w:hAnsi="Times New Roman" w:eastAsia="宋体" w:cs="Times New Roman"/>
                      <w:sz w:val="21"/>
                      <w:szCs w:val="21"/>
                    </w:rPr>
                    <w:t>液态</w:t>
                  </w:r>
                  <w:bookmarkEnd w:id="46"/>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47" w:name="_Toc21471"/>
                  <w:r>
                    <w:rPr>
                      <w:rFonts w:hint="default" w:ascii="Times New Roman" w:hAnsi="Times New Roman" w:eastAsia="宋体" w:cs="Times New Roman"/>
                      <w:sz w:val="21"/>
                      <w:szCs w:val="21"/>
                    </w:rPr>
                    <w:t>5瓶</w:t>
                  </w:r>
                  <w:bookmarkEnd w:id="47"/>
                </w:p>
              </w:tc>
              <w:tc>
                <w:tcPr>
                  <w:tcW w:w="413" w:type="pct"/>
                  <w:noWrap/>
                  <w:vAlign w:val="center"/>
                </w:tcPr>
                <w:p>
                  <w:pPr>
                    <w:adjustRightInd w:val="0"/>
                    <w:snapToGrid w:val="0"/>
                    <w:jc w:val="center"/>
                    <w:outlineLvl w:val="1"/>
                    <w:rPr>
                      <w:rFonts w:hint="default" w:ascii="Times New Roman" w:hAnsi="Times New Roman" w:eastAsia="宋体" w:cs="Times New Roman"/>
                      <w:sz w:val="21"/>
                      <w:szCs w:val="21"/>
                      <w:lang w:val="en-GB"/>
                    </w:rPr>
                  </w:pPr>
                  <w:r>
                    <w:rPr>
                      <w:rFonts w:hint="default" w:ascii="Times New Roman" w:hAnsi="Times New Roman" w:eastAsia="宋体" w:cs="Times New Roman"/>
                      <w:sz w:val="21"/>
                      <w:szCs w:val="21"/>
                      <w:lang w:val="en-GB"/>
                    </w:rPr>
                    <w:t>5</w:t>
                  </w:r>
                  <w:r>
                    <w:rPr>
                      <w:rFonts w:hint="eastAsia" w:ascii="Times New Roman" w:hAnsi="Times New Roman" w:eastAsia="宋体" w:cs="Times New Roman"/>
                      <w:sz w:val="21"/>
                      <w:szCs w:val="21"/>
                      <w:lang w:val="en-US" w:eastAsia="zh-CN"/>
                    </w:rPr>
                    <w:t>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98</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48" w:name="_Toc9975"/>
                  <w:r>
                    <w:rPr>
                      <w:rFonts w:hint="default" w:ascii="Times New Roman" w:hAnsi="Times New Roman" w:eastAsia="宋体" w:cs="Times New Roman"/>
                      <w:sz w:val="21"/>
                      <w:szCs w:val="21"/>
                    </w:rPr>
                    <w:t>高氯酸（HCLO</w:t>
                  </w:r>
                  <w:r>
                    <w:rPr>
                      <w:rFonts w:hint="default" w:ascii="Times New Roman" w:hAnsi="Times New Roman" w:eastAsia="宋体" w:cs="Times New Roman"/>
                      <w:sz w:val="21"/>
                      <w:szCs w:val="21"/>
                      <w:vertAlign w:val="subscript"/>
                    </w:rPr>
                    <w:t>4</w:t>
                  </w:r>
                  <w:r>
                    <w:rPr>
                      <w:rFonts w:hint="default" w:ascii="Times New Roman" w:hAnsi="Times New Roman" w:eastAsia="宋体" w:cs="Times New Roman"/>
                      <w:sz w:val="21"/>
                      <w:szCs w:val="21"/>
                    </w:rPr>
                    <w:t>）</w:t>
                  </w:r>
                  <w:bookmarkEnd w:id="48"/>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49" w:name="_Toc19307"/>
                  <w:r>
                    <w:rPr>
                      <w:rFonts w:hint="default" w:ascii="Times New Roman" w:hAnsi="Times New Roman" w:eastAsia="宋体" w:cs="Times New Roman"/>
                      <w:sz w:val="21"/>
                      <w:szCs w:val="21"/>
                    </w:rPr>
                    <w:t>500ml/瓶</w:t>
                  </w:r>
                  <w:bookmarkEnd w:id="49"/>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50" w:name="_Toc19210"/>
                  <w:r>
                    <w:rPr>
                      <w:rFonts w:hint="default" w:ascii="Times New Roman" w:hAnsi="Times New Roman" w:eastAsia="宋体" w:cs="Times New Roman"/>
                      <w:sz w:val="21"/>
                      <w:szCs w:val="21"/>
                    </w:rPr>
                    <w:t>0.1L/a</w:t>
                  </w:r>
                </w:p>
                <w:bookmarkEnd w:id="50"/>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0.1L/a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51" w:name="_Toc29351"/>
                  <w:r>
                    <w:rPr>
                      <w:rFonts w:hint="default" w:ascii="Times New Roman" w:hAnsi="Times New Roman" w:eastAsia="宋体" w:cs="Times New Roman"/>
                      <w:sz w:val="21"/>
                      <w:szCs w:val="21"/>
                    </w:rPr>
                    <w:t>液态</w:t>
                  </w:r>
                  <w:bookmarkEnd w:id="51"/>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70%含量</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52" w:name="_Toc18"/>
                  <w:r>
                    <w:rPr>
                      <w:rFonts w:hint="default" w:ascii="Times New Roman" w:hAnsi="Times New Roman" w:eastAsia="宋体" w:cs="Times New Roman"/>
                      <w:sz w:val="21"/>
                      <w:szCs w:val="21"/>
                    </w:rPr>
                    <w:t>2瓶</w:t>
                  </w:r>
                  <w:bookmarkEnd w:id="52"/>
                </w:p>
              </w:tc>
              <w:tc>
                <w:tcPr>
                  <w:tcW w:w="413" w:type="pct"/>
                  <w:noWrap/>
                  <w:vAlign w:val="center"/>
                </w:tcPr>
                <w:p>
                  <w:pPr>
                    <w:adjustRightInd w:val="0"/>
                    <w:snapToGrid w:val="0"/>
                    <w:jc w:val="center"/>
                    <w:outlineLvl w:val="1"/>
                    <w:rPr>
                      <w:rFonts w:hint="default" w:ascii="Times New Roman" w:hAnsi="Times New Roman" w:eastAsia="宋体" w:cs="Times New Roman"/>
                      <w:sz w:val="21"/>
                      <w:szCs w:val="21"/>
                      <w:highlight w:val="yellow"/>
                    </w:rPr>
                  </w:pPr>
                  <w:r>
                    <w:rPr>
                      <w:rFonts w:hint="default" w:ascii="Times New Roman" w:hAnsi="Times New Roman" w:cs="Times New Roman"/>
                      <w:vertAlign w:val="baseline"/>
                      <w:lang w:val="en-US" w:eastAsia="zh-CN"/>
                    </w:rPr>
                    <w:t>4</w:t>
                  </w:r>
                  <w:r>
                    <w:rPr>
                      <w:rFonts w:hint="default" w:ascii="Times New Roman" w:hAnsi="Times New Roman" w:eastAsia="宋体" w:cs="Times New Roman"/>
                      <w:sz w:val="21"/>
                      <w:szCs w:val="21"/>
                    </w:rPr>
                    <w:t>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highlight w:val="yellow"/>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99</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53" w:name="_Toc9212"/>
                  <w:r>
                    <w:rPr>
                      <w:rFonts w:hint="default" w:ascii="Times New Roman" w:hAnsi="Times New Roman" w:eastAsia="宋体" w:cs="Times New Roman"/>
                      <w:sz w:val="21"/>
                      <w:szCs w:val="21"/>
                    </w:rPr>
                    <w:t>冰醋酸（CH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C</w:t>
                  </w:r>
                  <w:r>
                    <w:rPr>
                      <w:rFonts w:hint="eastAsia" w:ascii="Times New Roman" w:hAnsi="Times New Roman" w:eastAsia="宋体" w:cs="Times New Roman"/>
                      <w:sz w:val="21"/>
                      <w:szCs w:val="21"/>
                      <w:lang w:val="en-US" w:eastAsia="zh-CN"/>
                    </w:rPr>
                    <w:t>OO</w:t>
                  </w:r>
                  <w:r>
                    <w:rPr>
                      <w:rFonts w:hint="default" w:ascii="Times New Roman" w:hAnsi="Times New Roman" w:eastAsia="宋体" w:cs="Times New Roman"/>
                      <w:sz w:val="21"/>
                      <w:szCs w:val="21"/>
                    </w:rPr>
                    <w:t>H）</w:t>
                  </w:r>
                  <w:bookmarkEnd w:id="53"/>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54" w:name="_Toc2283"/>
                  <w:r>
                    <w:rPr>
                      <w:rFonts w:hint="default" w:ascii="Times New Roman" w:hAnsi="Times New Roman" w:eastAsia="宋体" w:cs="Times New Roman"/>
                      <w:sz w:val="21"/>
                      <w:szCs w:val="21"/>
                    </w:rPr>
                    <w:t>500ml/瓶</w:t>
                  </w:r>
                  <w:bookmarkEnd w:id="54"/>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55" w:name="_Toc2183"/>
                  <w:r>
                    <w:rPr>
                      <w:rFonts w:hint="default" w:ascii="Times New Roman" w:hAnsi="Times New Roman" w:eastAsia="宋体" w:cs="Times New Roman"/>
                      <w:sz w:val="21"/>
                      <w:szCs w:val="21"/>
                    </w:rPr>
                    <w:t>1L/a</w:t>
                  </w:r>
                </w:p>
                <w:bookmarkEnd w:id="55"/>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1L/a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56" w:name="_Toc23852"/>
                  <w:r>
                    <w:rPr>
                      <w:rFonts w:hint="default" w:ascii="Times New Roman" w:hAnsi="Times New Roman" w:eastAsia="宋体" w:cs="Times New Roman"/>
                      <w:sz w:val="21"/>
                      <w:szCs w:val="21"/>
                    </w:rPr>
                    <w:t>液态</w:t>
                  </w:r>
                  <w:bookmarkEnd w:id="56"/>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98%含量</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57" w:name="_Toc2243"/>
                  <w:r>
                    <w:rPr>
                      <w:rFonts w:hint="default" w:ascii="Times New Roman" w:hAnsi="Times New Roman" w:eastAsia="宋体" w:cs="Times New Roman"/>
                      <w:sz w:val="21"/>
                      <w:szCs w:val="21"/>
                    </w:rPr>
                    <w:t>2瓶</w:t>
                  </w:r>
                  <w:bookmarkEnd w:id="57"/>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100</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58" w:name="_Toc23959"/>
                  <w:r>
                    <w:rPr>
                      <w:rFonts w:hint="default" w:ascii="Times New Roman" w:hAnsi="Times New Roman" w:eastAsia="宋体" w:cs="Times New Roman"/>
                      <w:sz w:val="21"/>
                      <w:szCs w:val="21"/>
                    </w:rPr>
                    <w:t>三乙醇胺（C</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15</w:t>
                  </w:r>
                  <w:r>
                    <w:rPr>
                      <w:rFonts w:hint="default" w:ascii="Times New Roman" w:hAnsi="Times New Roman" w:eastAsia="宋体" w:cs="Times New Roman"/>
                      <w:sz w:val="21"/>
                      <w:szCs w:val="21"/>
                    </w:rPr>
                    <w:t>NO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w:t>
                  </w:r>
                  <w:bookmarkEnd w:id="58"/>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59" w:name="_Toc7102"/>
                  <w:r>
                    <w:rPr>
                      <w:rFonts w:hint="default" w:ascii="Times New Roman" w:hAnsi="Times New Roman" w:eastAsia="宋体" w:cs="Times New Roman"/>
                      <w:sz w:val="21"/>
                      <w:szCs w:val="21"/>
                    </w:rPr>
                    <w:t>500ml/瓶</w:t>
                  </w:r>
                  <w:bookmarkEnd w:id="59"/>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60" w:name="_Toc8468"/>
                  <w:r>
                    <w:rPr>
                      <w:rFonts w:hint="default" w:ascii="Times New Roman" w:hAnsi="Times New Roman" w:eastAsia="宋体" w:cs="Times New Roman"/>
                      <w:sz w:val="21"/>
                      <w:szCs w:val="21"/>
                    </w:rPr>
                    <w:t>0.5L/a</w:t>
                  </w:r>
                </w:p>
                <w:bookmarkEnd w:id="60"/>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0.5L/a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61" w:name="_Toc12450"/>
                  <w:r>
                    <w:rPr>
                      <w:rFonts w:hint="default" w:ascii="Times New Roman" w:hAnsi="Times New Roman" w:eastAsia="宋体" w:cs="Times New Roman"/>
                      <w:sz w:val="21"/>
                      <w:szCs w:val="21"/>
                    </w:rPr>
                    <w:t>液态</w:t>
                  </w:r>
                  <w:bookmarkEnd w:id="61"/>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62" w:name="_Toc18042"/>
                  <w:r>
                    <w:rPr>
                      <w:rFonts w:hint="default" w:ascii="Times New Roman" w:hAnsi="Times New Roman" w:eastAsia="宋体" w:cs="Times New Roman"/>
                      <w:sz w:val="21"/>
                      <w:szCs w:val="21"/>
                    </w:rPr>
                    <w:t>1瓶</w:t>
                  </w:r>
                  <w:bookmarkEnd w:id="62"/>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101</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63" w:name="_Toc3545"/>
                  <w:r>
                    <w:rPr>
                      <w:rFonts w:hint="default" w:ascii="Times New Roman" w:hAnsi="Times New Roman" w:eastAsia="宋体" w:cs="Times New Roman"/>
                      <w:sz w:val="21"/>
                      <w:szCs w:val="21"/>
                    </w:rPr>
                    <w:t>甲醇(CH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OH)</w:t>
                  </w:r>
                  <w:bookmarkEnd w:id="63"/>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64" w:name="_Toc22967"/>
                  <w:r>
                    <w:rPr>
                      <w:rFonts w:hint="default" w:ascii="Times New Roman" w:hAnsi="Times New Roman" w:eastAsia="宋体" w:cs="Times New Roman"/>
                      <w:sz w:val="21"/>
                      <w:szCs w:val="21"/>
                    </w:rPr>
                    <w:t>500ml/瓶</w:t>
                  </w:r>
                  <w:bookmarkEnd w:id="64"/>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65" w:name="_Toc6686"/>
                  <w:r>
                    <w:rPr>
                      <w:rFonts w:hint="default" w:ascii="Times New Roman" w:hAnsi="Times New Roman" w:eastAsia="宋体" w:cs="Times New Roman"/>
                      <w:sz w:val="21"/>
                      <w:szCs w:val="21"/>
                    </w:rPr>
                    <w:t>0.5L/a</w:t>
                  </w:r>
                </w:p>
                <w:bookmarkEnd w:id="65"/>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0.5L/a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66" w:name="_Toc3857"/>
                  <w:r>
                    <w:rPr>
                      <w:rFonts w:hint="default" w:ascii="Times New Roman" w:hAnsi="Times New Roman" w:eastAsia="宋体" w:cs="Times New Roman"/>
                      <w:sz w:val="21"/>
                      <w:szCs w:val="21"/>
                    </w:rPr>
                    <w:t>液态</w:t>
                  </w:r>
                  <w:bookmarkEnd w:id="66"/>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67" w:name="_Toc26417"/>
                  <w:r>
                    <w:rPr>
                      <w:rFonts w:hint="default" w:ascii="Times New Roman" w:hAnsi="Times New Roman" w:eastAsia="宋体" w:cs="Times New Roman"/>
                      <w:sz w:val="21"/>
                      <w:szCs w:val="21"/>
                    </w:rPr>
                    <w:t>1瓶</w:t>
                  </w:r>
                  <w:bookmarkEnd w:id="67"/>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102</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68" w:name="_Toc28055"/>
                  <w:r>
                    <w:rPr>
                      <w:rFonts w:hint="default" w:ascii="Times New Roman" w:hAnsi="Times New Roman" w:eastAsia="宋体" w:cs="Times New Roman"/>
                      <w:sz w:val="21"/>
                      <w:szCs w:val="21"/>
                    </w:rPr>
                    <w:t>三氯甲烷（CH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Cl</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w:t>
                  </w:r>
                  <w:bookmarkEnd w:id="68"/>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69" w:name="_Toc21256"/>
                  <w:r>
                    <w:rPr>
                      <w:rFonts w:hint="default" w:ascii="Times New Roman" w:hAnsi="Times New Roman" w:eastAsia="宋体" w:cs="Times New Roman"/>
                      <w:sz w:val="21"/>
                      <w:szCs w:val="21"/>
                    </w:rPr>
                    <w:t>500ml/瓶</w:t>
                  </w:r>
                  <w:bookmarkEnd w:id="69"/>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70" w:name="_Toc2557"/>
                  <w:r>
                    <w:rPr>
                      <w:rFonts w:hint="default" w:ascii="Times New Roman" w:hAnsi="Times New Roman" w:eastAsia="宋体" w:cs="Times New Roman"/>
                      <w:sz w:val="21"/>
                      <w:szCs w:val="21"/>
                    </w:rPr>
                    <w:t>0.5L/a</w:t>
                  </w:r>
                </w:p>
                <w:bookmarkEnd w:id="70"/>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0.5L/a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71" w:name="_Toc31669"/>
                  <w:r>
                    <w:rPr>
                      <w:rFonts w:hint="default" w:ascii="Times New Roman" w:hAnsi="Times New Roman" w:eastAsia="宋体" w:cs="Times New Roman"/>
                      <w:sz w:val="21"/>
                      <w:szCs w:val="21"/>
                    </w:rPr>
                    <w:t>液态</w:t>
                  </w:r>
                  <w:bookmarkEnd w:id="71"/>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72" w:name="_Toc15736"/>
                  <w:r>
                    <w:rPr>
                      <w:rFonts w:hint="default" w:ascii="Times New Roman" w:hAnsi="Times New Roman" w:eastAsia="宋体" w:cs="Times New Roman"/>
                      <w:sz w:val="21"/>
                      <w:szCs w:val="21"/>
                    </w:rPr>
                    <w:t>1瓶</w:t>
                  </w:r>
                  <w:bookmarkEnd w:id="72"/>
                </w:p>
              </w:tc>
              <w:tc>
                <w:tcPr>
                  <w:tcW w:w="413" w:type="pct"/>
                  <w:noWrap/>
                  <w:vAlign w:val="center"/>
                </w:tcPr>
                <w:p>
                  <w:pPr>
                    <w:adjustRightInd w:val="0"/>
                    <w:snapToGrid w:val="0"/>
                    <w:jc w:val="center"/>
                    <w:outlineLvl w:val="1"/>
                    <w:rPr>
                      <w:rFonts w:hint="default" w:ascii="Times New Roman" w:hAnsi="Times New Roman" w:eastAsia="宋体" w:cs="Times New Roman"/>
                      <w:sz w:val="21"/>
                      <w:szCs w:val="21"/>
                    </w:rPr>
                  </w:pPr>
                  <w:r>
                    <w:rPr>
                      <w:rFonts w:hint="default" w:ascii="Times New Roman" w:hAnsi="Times New Roman" w:cs="Times New Roman"/>
                      <w:vertAlign w:val="baseline"/>
                      <w:lang w:val="en-US" w:eastAsia="zh-CN"/>
                    </w:rPr>
                    <w:t>20</w:t>
                  </w:r>
                  <w:r>
                    <w:rPr>
                      <w:rFonts w:hint="default" w:ascii="Times New Roman" w:hAnsi="Times New Roman" w:eastAsia="宋体" w:cs="Times New Roman"/>
                      <w:sz w:val="21"/>
                      <w:szCs w:val="21"/>
                    </w:rPr>
                    <w:t>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103</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73" w:name="_Toc25436"/>
                  <w:r>
                    <w:rPr>
                      <w:rFonts w:hint="default" w:ascii="Times New Roman" w:hAnsi="Times New Roman" w:eastAsia="宋体" w:cs="Times New Roman"/>
                      <w:sz w:val="21"/>
                      <w:szCs w:val="21"/>
                    </w:rPr>
                    <w:t>苯酚(C</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5</w:t>
                  </w:r>
                  <w:r>
                    <w:rPr>
                      <w:rFonts w:hint="eastAsia" w:ascii="Times New Roman" w:hAnsi="Times New Roman" w:eastAsia="宋体" w:cs="Times New Roman"/>
                      <w:sz w:val="21"/>
                      <w:szCs w:val="21"/>
                      <w:lang w:val="en-US" w:eastAsia="zh-CN"/>
                    </w:rPr>
                    <w:t>O</w:t>
                  </w:r>
                  <w:r>
                    <w:rPr>
                      <w:rFonts w:hint="default" w:ascii="Times New Roman" w:hAnsi="Times New Roman" w:eastAsia="宋体" w:cs="Times New Roman"/>
                      <w:sz w:val="21"/>
                      <w:szCs w:val="21"/>
                    </w:rPr>
                    <w:t>H)</w:t>
                  </w:r>
                  <w:bookmarkEnd w:id="73"/>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74" w:name="_Toc24662"/>
                  <w:r>
                    <w:rPr>
                      <w:rFonts w:hint="default" w:ascii="Times New Roman" w:hAnsi="Times New Roman" w:eastAsia="宋体" w:cs="Times New Roman"/>
                      <w:sz w:val="21"/>
                      <w:szCs w:val="21"/>
                    </w:rPr>
                    <w:t>500ml/瓶</w:t>
                  </w:r>
                  <w:bookmarkEnd w:id="74"/>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75" w:name="_Toc19689"/>
                  <w:r>
                    <w:rPr>
                      <w:rFonts w:hint="default" w:ascii="Times New Roman" w:hAnsi="Times New Roman" w:eastAsia="宋体" w:cs="Times New Roman"/>
                      <w:sz w:val="21"/>
                      <w:szCs w:val="21"/>
                    </w:rPr>
                    <w:t>0.2L/a</w:t>
                  </w:r>
                </w:p>
                <w:bookmarkEnd w:id="75"/>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0.2L/a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76" w:name="_Toc3676"/>
                  <w:r>
                    <w:rPr>
                      <w:rFonts w:hint="default" w:ascii="Times New Roman" w:hAnsi="Times New Roman" w:eastAsia="宋体" w:cs="Times New Roman"/>
                      <w:sz w:val="21"/>
                      <w:szCs w:val="21"/>
                    </w:rPr>
                    <w:t>液态</w:t>
                  </w:r>
                  <w:bookmarkEnd w:id="76"/>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77" w:name="_Toc24425"/>
                  <w:r>
                    <w:rPr>
                      <w:rFonts w:hint="default" w:ascii="Times New Roman" w:hAnsi="Times New Roman" w:eastAsia="宋体" w:cs="Times New Roman"/>
                      <w:sz w:val="21"/>
                      <w:szCs w:val="21"/>
                    </w:rPr>
                    <w:t>1瓶</w:t>
                  </w:r>
                  <w:bookmarkEnd w:id="77"/>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104</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78" w:name="_Toc27457"/>
                  <w:r>
                    <w:rPr>
                      <w:rFonts w:hint="default" w:ascii="Times New Roman" w:hAnsi="Times New Roman" w:eastAsia="宋体" w:cs="Times New Roman"/>
                      <w:sz w:val="21"/>
                      <w:szCs w:val="21"/>
                    </w:rPr>
                    <w:t>甲醛(CH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bookmarkEnd w:id="78"/>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79" w:name="_Toc19759"/>
                  <w:r>
                    <w:rPr>
                      <w:rFonts w:hint="default" w:ascii="Times New Roman" w:hAnsi="Times New Roman" w:eastAsia="宋体" w:cs="Times New Roman"/>
                      <w:sz w:val="21"/>
                      <w:szCs w:val="21"/>
                    </w:rPr>
                    <w:t>500ml/瓶</w:t>
                  </w:r>
                  <w:bookmarkEnd w:id="79"/>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80" w:name="_Toc20402"/>
                  <w:r>
                    <w:rPr>
                      <w:rFonts w:hint="default" w:ascii="Times New Roman" w:hAnsi="Times New Roman" w:eastAsia="宋体" w:cs="Times New Roman"/>
                      <w:sz w:val="21"/>
                      <w:szCs w:val="21"/>
                    </w:rPr>
                    <w:t>1L/a</w:t>
                  </w:r>
                </w:p>
                <w:bookmarkEnd w:id="80"/>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1L/a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81" w:name="_Toc25906"/>
                  <w:r>
                    <w:rPr>
                      <w:rFonts w:hint="default" w:ascii="Times New Roman" w:hAnsi="Times New Roman" w:eastAsia="宋体" w:cs="Times New Roman"/>
                      <w:sz w:val="21"/>
                      <w:szCs w:val="21"/>
                    </w:rPr>
                    <w:t>液态</w:t>
                  </w:r>
                  <w:bookmarkEnd w:id="81"/>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82" w:name="_Toc19397"/>
                  <w:r>
                    <w:rPr>
                      <w:rFonts w:hint="default" w:ascii="Times New Roman" w:hAnsi="Times New Roman" w:eastAsia="宋体" w:cs="Times New Roman"/>
                      <w:sz w:val="21"/>
                      <w:szCs w:val="21"/>
                    </w:rPr>
                    <w:t>2瓶</w:t>
                  </w:r>
                  <w:bookmarkEnd w:id="82"/>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105</w:t>
                  </w:r>
                </w:p>
              </w:tc>
              <w:tc>
                <w:tcPr>
                  <w:tcW w:w="1294"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83" w:name="_Toc26694"/>
                  <w:r>
                    <w:rPr>
                      <w:rFonts w:hint="default" w:ascii="Times New Roman" w:hAnsi="Times New Roman" w:eastAsia="宋体" w:cs="Times New Roman"/>
                      <w:sz w:val="21"/>
                      <w:szCs w:val="21"/>
                    </w:rPr>
                    <w:t>丙酮(CH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COCH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w:t>
                  </w:r>
                  <w:bookmarkEnd w:id="83"/>
                </w:p>
              </w:tc>
              <w:tc>
                <w:tcPr>
                  <w:tcW w:w="499"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84" w:name="_Toc4555"/>
                  <w:r>
                    <w:rPr>
                      <w:rFonts w:hint="default" w:ascii="Times New Roman" w:hAnsi="Times New Roman" w:eastAsia="宋体" w:cs="Times New Roman"/>
                      <w:sz w:val="21"/>
                      <w:szCs w:val="21"/>
                    </w:rPr>
                    <w:t>500ml/瓶</w:t>
                  </w:r>
                  <w:bookmarkEnd w:id="84"/>
                </w:p>
              </w:tc>
              <w:tc>
                <w:tcPr>
                  <w:tcW w:w="535"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85" w:name="_Toc2325"/>
                  <w:r>
                    <w:rPr>
                      <w:rFonts w:hint="default" w:ascii="Times New Roman" w:hAnsi="Times New Roman" w:eastAsia="宋体" w:cs="Times New Roman"/>
                      <w:sz w:val="21"/>
                      <w:szCs w:val="21"/>
                    </w:rPr>
                    <w:t>2L/a</w:t>
                  </w:r>
                </w:p>
                <w:bookmarkEnd w:id="85"/>
              </w:tc>
              <w:tc>
                <w:tcPr>
                  <w:tcW w:w="536"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2L/a</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86" w:name="_Toc13530"/>
                  <w:r>
                    <w:rPr>
                      <w:rFonts w:hint="default" w:ascii="Times New Roman" w:hAnsi="Times New Roman" w:eastAsia="宋体" w:cs="Times New Roman"/>
                      <w:sz w:val="21"/>
                      <w:szCs w:val="21"/>
                    </w:rPr>
                    <w:t>液态</w:t>
                  </w:r>
                  <w:bookmarkEnd w:id="86"/>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AR</w:t>
                  </w:r>
                </w:p>
              </w:tc>
              <w:tc>
                <w:tcPr>
                  <w:tcW w:w="412" w:type="pct"/>
                  <w:noWrap/>
                  <w:vAlign w:val="center"/>
                </w:tcPr>
                <w:p>
                  <w:pPr>
                    <w:adjustRightInd w:val="0"/>
                    <w:snapToGrid w:val="0"/>
                    <w:jc w:val="center"/>
                    <w:outlineLvl w:val="1"/>
                    <w:rPr>
                      <w:rFonts w:hint="default" w:ascii="Times New Roman" w:hAnsi="Times New Roman" w:eastAsia="宋体" w:cs="Times New Roman"/>
                      <w:sz w:val="21"/>
                      <w:szCs w:val="21"/>
                    </w:rPr>
                  </w:pPr>
                  <w:bookmarkStart w:id="87" w:name="_Toc29968"/>
                  <w:r>
                    <w:rPr>
                      <w:rFonts w:hint="default" w:ascii="Times New Roman" w:hAnsi="Times New Roman" w:eastAsia="宋体" w:cs="Times New Roman"/>
                      <w:sz w:val="21"/>
                      <w:szCs w:val="21"/>
                    </w:rPr>
                    <w:t>3瓶</w:t>
                  </w:r>
                  <w:bookmarkEnd w:id="87"/>
                </w:p>
              </w:tc>
              <w:tc>
                <w:tcPr>
                  <w:tcW w:w="413" w:type="pct"/>
                  <w:noWrap/>
                  <w:vAlign w:val="center"/>
                </w:tcPr>
                <w:p>
                  <w:pPr>
                    <w:adjustRightInd w:val="0"/>
                    <w:snapToGrid w:val="0"/>
                    <w:jc w:val="center"/>
                    <w:outlineLvl w:val="1"/>
                    <w:rPr>
                      <w:rFonts w:hint="default" w:ascii="Times New Roman" w:hAnsi="Times New Roman" w:eastAsia="宋体" w:cs="Times New Roman"/>
                      <w:sz w:val="21"/>
                      <w:szCs w:val="21"/>
                    </w:rPr>
                  </w:pPr>
                  <w:r>
                    <w:rPr>
                      <w:rFonts w:hint="default" w:ascii="Times New Roman" w:hAnsi="Times New Roman" w:cs="Times New Roman"/>
                      <w:vertAlign w:val="baseline"/>
                      <w:lang w:val="en-US" w:eastAsia="zh-CN"/>
                    </w:rPr>
                    <w:t>10</w:t>
                  </w:r>
                  <w:r>
                    <w:rPr>
                      <w:rFonts w:hint="default" w:ascii="Times New Roman" w:hAnsi="Times New Roman" w:eastAsia="宋体" w:cs="Times New Roman"/>
                      <w:sz w:val="21"/>
                      <w:szCs w:val="21"/>
                    </w:rPr>
                    <w:t>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106</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乙醇胺(</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7</w:t>
                  </w:r>
                  <w:r>
                    <w:rPr>
                      <w:rFonts w:hint="default" w:ascii="Times New Roman" w:hAnsi="Times New Roman" w:eastAsia="宋体" w:cs="Times New Roman"/>
                      <w:sz w:val="21"/>
                      <w:szCs w:val="21"/>
                    </w:rPr>
                    <w:t>NO</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0.05L/a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107</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乙二醇(</w:t>
                  </w:r>
                  <w:r>
                    <w:rPr>
                      <w:rFonts w:hint="default" w:ascii="Times New Roman" w:hAnsi="Times New Roman" w:eastAsia="宋体" w:cs="Times New Roman"/>
                      <w:sz w:val="21"/>
                      <w:szCs w:val="21"/>
                    </w:rPr>
                    <w:t>CH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0.01L/a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0.01L/a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108</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二甲基甲酰胺(C</w:t>
                  </w:r>
                  <w:r>
                    <w:rPr>
                      <w:rFonts w:hint="default" w:ascii="Times New Roman" w:hAnsi="Times New Roman" w:eastAsia="宋体" w:cs="Times New Roman"/>
                      <w:kern w:val="0"/>
                      <w:sz w:val="21"/>
                      <w:szCs w:val="21"/>
                      <w:vertAlign w:val="subscript"/>
                    </w:rPr>
                    <w:t>3</w:t>
                  </w:r>
                  <w:r>
                    <w:rPr>
                      <w:rFonts w:hint="default" w:ascii="Times New Roman" w:hAnsi="Times New Roman" w:eastAsia="宋体" w:cs="Times New Roman"/>
                      <w:kern w:val="0"/>
                      <w:sz w:val="21"/>
                      <w:szCs w:val="21"/>
                    </w:rPr>
                    <w:t>H</w:t>
                  </w:r>
                  <w:r>
                    <w:rPr>
                      <w:rFonts w:hint="default" w:ascii="Times New Roman" w:hAnsi="Times New Roman" w:eastAsia="宋体" w:cs="Times New Roman"/>
                      <w:kern w:val="0"/>
                      <w:sz w:val="21"/>
                      <w:szCs w:val="21"/>
                      <w:vertAlign w:val="subscript"/>
                    </w:rPr>
                    <w:t>7</w:t>
                  </w:r>
                  <w:r>
                    <w:rPr>
                      <w:rFonts w:hint="default" w:ascii="Times New Roman" w:hAnsi="Times New Roman" w:eastAsia="宋体" w:cs="Times New Roman"/>
                      <w:kern w:val="0"/>
                      <w:sz w:val="21"/>
                      <w:szCs w:val="21"/>
                    </w:rPr>
                    <w:t>NO)</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0.01L/a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0.01L/a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109</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无水乙醇(</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O</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0.5L/a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0.5L/a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110</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正己醇(</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14</w:t>
                  </w:r>
                  <w:r>
                    <w:rPr>
                      <w:rFonts w:hint="default" w:ascii="Times New Roman" w:hAnsi="Times New Roman" w:eastAsia="宋体" w:cs="Times New Roman"/>
                      <w:sz w:val="21"/>
                      <w:szCs w:val="21"/>
                    </w:rPr>
                    <w:t>O</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0.1L/a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CP</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0瓶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111</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异丙醇(</w:t>
                  </w:r>
                  <w:r>
                    <w:rPr>
                      <w:rFonts w:hint="default" w:ascii="Times New Roman" w:hAnsi="Times New Roman" w:eastAsia="宋体" w:cs="Times New Roman"/>
                      <w:sz w:val="21"/>
                      <w:szCs w:val="21"/>
                    </w:rPr>
                    <w:t>C</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O</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0.1L/a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0.1L/a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rPr>
                    <w:t>112</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正丁醇(</w:t>
                  </w:r>
                  <w:r>
                    <w:rPr>
                      <w:rFonts w:hint="default" w:ascii="Times New Roman" w:hAnsi="Times New Roman" w:eastAsia="宋体" w:cs="Times New Roman"/>
                      <w:sz w:val="21"/>
                      <w:szCs w:val="21"/>
                    </w:rPr>
                    <w:t>CH</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(CH</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OH</w:t>
                  </w:r>
                  <w:r>
                    <w:rPr>
                      <w:rFonts w:hint="default" w:ascii="Times New Roman" w:hAnsi="Times New Roman" w:eastAsia="宋体" w:cs="Times New Roman"/>
                      <w:kern w:val="0"/>
                      <w:sz w:val="21"/>
                      <w:szCs w:val="21"/>
                    </w:rPr>
                    <w:t>)</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0.1L/a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0.1L/a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w:t>
                  </w:r>
                  <w:r>
                    <w:rPr>
                      <w:rFonts w:hint="default" w:ascii="Times New Roman" w:hAnsi="Times New Roman" w:eastAsia="宋体" w:cs="Times New Roman"/>
                      <w:sz w:val="21"/>
                      <w:szCs w:val="21"/>
                    </w:rPr>
                    <w:t>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113</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重金属标样</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0.3L/a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0.3L/a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bookmarkStart w:id="88" w:name="_Toc16525"/>
                  <w:r>
                    <w:rPr>
                      <w:rFonts w:hint="eastAsia" w:ascii="Times New Roman" w:hAnsi="Times New Roman" w:eastAsia="宋体" w:cs="Times New Roman"/>
                      <w:sz w:val="21"/>
                      <w:szCs w:val="21"/>
                      <w:lang w:val="en-US" w:eastAsia="zh-CN"/>
                    </w:rPr>
                    <w:t>10瓶</w:t>
                  </w:r>
                </w:p>
                <w:bookmarkEnd w:id="88"/>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114</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石油类标样</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0.12L/a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0.12L/a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5瓶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115</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硫化物标样</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0.26L/a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0.26L/a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5瓶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116</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氰化物标样</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0.06L/a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0.06L/a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117</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高锰酸盐标样</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0.08L/a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0.08L/a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rPr>
                    <w:t>4</w:t>
                  </w:r>
                  <w:r>
                    <w:rPr>
                      <w:rFonts w:hint="eastAsia" w:ascii="Times New Roman" w:hAnsi="Times New Roman" w:eastAsia="宋体" w:cs="Times New Roman"/>
                      <w:sz w:val="21"/>
                      <w:szCs w:val="21"/>
                      <w:lang w:val="en-US" w:eastAsia="zh-CN"/>
                    </w:rPr>
                    <w:t>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118</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硫化物标样</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0.09L/a</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0.09L/a</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119</w:t>
                  </w:r>
                </w:p>
              </w:tc>
              <w:tc>
                <w:tcPr>
                  <w:tcW w:w="1294" w:type="pct"/>
                  <w:noWrap/>
                  <w:tcMar>
                    <w:top w:w="0" w:type="dxa"/>
                    <w:left w:w="108" w:type="dxa"/>
                    <w:bottom w:w="0" w:type="dxa"/>
                    <w:right w:w="108" w:type="dxa"/>
                  </w:tcMar>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四氯乙烯</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1.5L</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1.5L</w:t>
                  </w:r>
                </w:p>
              </w:tc>
              <w:tc>
                <w:tcPr>
                  <w:tcW w:w="327"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液态</w:t>
                  </w:r>
                </w:p>
              </w:tc>
              <w:tc>
                <w:tcPr>
                  <w:tcW w:w="307"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AR</w:t>
                  </w:r>
                </w:p>
              </w:tc>
              <w:tc>
                <w:tcPr>
                  <w:tcW w:w="412" w:type="pct"/>
                  <w:noWrap/>
                  <w:vAlign w:val="center"/>
                </w:tcPr>
                <w:p>
                  <w:pPr>
                    <w:widowControl/>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3瓶</w:t>
                  </w:r>
                </w:p>
              </w:tc>
              <w:tc>
                <w:tcPr>
                  <w:tcW w:w="413" w:type="pct"/>
                  <w:noWrap/>
                  <w:vAlign w:val="center"/>
                </w:tcPr>
                <w:p>
                  <w:pPr>
                    <w:adjustRightInd w:val="0"/>
                    <w:snapToGrid w:val="0"/>
                    <w:jc w:val="center"/>
                    <w:outlineLvl w:val="1"/>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20瓶</w:t>
                  </w:r>
                </w:p>
              </w:tc>
              <w:tc>
                <w:tcPr>
                  <w:tcW w:w="387" w:type="pct"/>
                  <w:vMerge w:val="continue"/>
                  <w:noWrap/>
                  <w:vAlign w:val="center"/>
                </w:tcPr>
                <w:p>
                  <w:pPr>
                    <w:adjustRightInd w:val="0"/>
                    <w:snapToGrid w:val="0"/>
                    <w:jc w:val="center"/>
                    <w:outlineLvl w:val="1"/>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120</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乙炔</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40L/瓶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20L</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20L</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89" w:name="_Toc30122"/>
                  <w:r>
                    <w:rPr>
                      <w:rFonts w:hint="default" w:ascii="Times New Roman" w:hAnsi="Times New Roman" w:eastAsia="宋体" w:cs="Times New Roman"/>
                      <w:sz w:val="21"/>
                      <w:szCs w:val="21"/>
                    </w:rPr>
                    <w:t>气态</w:t>
                  </w:r>
                  <w:bookmarkEnd w:id="89"/>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高纯</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1瓶</w:t>
                  </w:r>
                </w:p>
              </w:tc>
              <w:tc>
                <w:tcPr>
                  <w:tcW w:w="387" w:type="pct"/>
                  <w:vMerge w:val="restar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气瓶室</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121</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氩气</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40L/瓶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20L</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20L</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90" w:name="_Toc7107"/>
                  <w:r>
                    <w:rPr>
                      <w:rFonts w:hint="default" w:ascii="Times New Roman" w:hAnsi="Times New Roman" w:eastAsia="宋体" w:cs="Times New Roman"/>
                      <w:sz w:val="21"/>
                      <w:szCs w:val="21"/>
                    </w:rPr>
                    <w:t>气态</w:t>
                  </w:r>
                  <w:bookmarkEnd w:id="90"/>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高纯</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2瓶</w:t>
                  </w:r>
                </w:p>
              </w:tc>
              <w:tc>
                <w:tcPr>
                  <w:tcW w:w="387" w:type="pct"/>
                  <w:vMerge w:val="continue"/>
                  <w:noWrap/>
                  <w:vAlign w:val="center"/>
                </w:tcPr>
                <w:p>
                  <w:pPr>
                    <w:adjustRightInd w:val="0"/>
                    <w:snapToGrid w:val="0"/>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cantSplit/>
                <w:trHeight w:val="340" w:hRule="atLeast"/>
              </w:trPr>
              <w:tc>
                <w:tcPr>
                  <w:tcW w:w="28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122</w:t>
                  </w:r>
                </w:p>
              </w:tc>
              <w:tc>
                <w:tcPr>
                  <w:tcW w:w="1294"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氮气</w:t>
                  </w:r>
                </w:p>
              </w:tc>
              <w:tc>
                <w:tcPr>
                  <w:tcW w:w="499"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40L/瓶</w:t>
                  </w:r>
                </w:p>
              </w:tc>
              <w:tc>
                <w:tcPr>
                  <w:tcW w:w="535"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40L</w:t>
                  </w:r>
                </w:p>
              </w:tc>
              <w:tc>
                <w:tcPr>
                  <w:tcW w:w="536" w:type="pct"/>
                  <w:noWrap/>
                  <w:tcMar>
                    <w:top w:w="0" w:type="dxa"/>
                    <w:left w:w="108" w:type="dxa"/>
                    <w:bottom w:w="0" w:type="dxa"/>
                    <w:right w:w="108" w:type="dxa"/>
                  </w:tcMar>
                  <w:vAlign w:val="center"/>
                </w:tcPr>
                <w:p>
                  <w:pPr>
                    <w:adjustRightInd w:val="0"/>
                    <w:snapToGrid w:val="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40L</w:t>
                  </w:r>
                </w:p>
              </w:tc>
              <w:tc>
                <w:tcPr>
                  <w:tcW w:w="327" w:type="pct"/>
                  <w:noWrap/>
                  <w:tcMar>
                    <w:top w:w="0" w:type="dxa"/>
                    <w:left w:w="108" w:type="dxa"/>
                    <w:bottom w:w="0" w:type="dxa"/>
                    <w:right w:w="108" w:type="dxa"/>
                  </w:tcMar>
                  <w:vAlign w:val="center"/>
                </w:tcPr>
                <w:p>
                  <w:pPr>
                    <w:adjustRightInd w:val="0"/>
                    <w:snapToGrid w:val="0"/>
                    <w:jc w:val="center"/>
                    <w:outlineLvl w:val="1"/>
                    <w:rPr>
                      <w:rFonts w:hint="default" w:ascii="Times New Roman" w:hAnsi="Times New Roman" w:eastAsia="宋体" w:cs="Times New Roman"/>
                      <w:sz w:val="21"/>
                      <w:szCs w:val="21"/>
                    </w:rPr>
                  </w:pPr>
                  <w:bookmarkStart w:id="91" w:name="_Toc29848"/>
                  <w:r>
                    <w:rPr>
                      <w:rFonts w:hint="default" w:ascii="Times New Roman" w:hAnsi="Times New Roman" w:eastAsia="宋体" w:cs="Times New Roman"/>
                      <w:sz w:val="21"/>
                      <w:szCs w:val="21"/>
                    </w:rPr>
                    <w:t>气态</w:t>
                  </w:r>
                  <w:bookmarkEnd w:id="91"/>
                </w:p>
              </w:tc>
              <w:tc>
                <w:tcPr>
                  <w:tcW w:w="30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高纯</w:t>
                  </w:r>
                </w:p>
              </w:tc>
              <w:tc>
                <w:tcPr>
                  <w:tcW w:w="412"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1瓶</w:t>
                  </w:r>
                </w:p>
              </w:tc>
              <w:tc>
                <w:tcPr>
                  <w:tcW w:w="413" w:type="pct"/>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4瓶</w:t>
                  </w:r>
                </w:p>
              </w:tc>
              <w:tc>
                <w:tcPr>
                  <w:tcW w:w="387"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仪器分析室</w:t>
                  </w:r>
                </w:p>
              </w:tc>
            </w:tr>
            <w:bookmarkEnd w:id="8"/>
          </w:tbl>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 xml:space="preserve">表2-4  </w:t>
            </w:r>
            <w:r>
              <w:rPr>
                <w:rFonts w:hint="default" w:ascii="Times New Roman" w:hAnsi="Times New Roman" w:eastAsia="宋体" w:cs="Times New Roman"/>
                <w:b/>
                <w:bCs/>
                <w:sz w:val="21"/>
                <w:szCs w:val="21"/>
              </w:rPr>
              <w:t>建设项目主要生产单元、主要工艺及生产设施名称一览表</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33"/>
              <w:gridCol w:w="878"/>
              <w:gridCol w:w="866"/>
              <w:gridCol w:w="2334"/>
              <w:gridCol w:w="1392"/>
              <w:gridCol w:w="1154"/>
              <w:gridCol w:w="114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kern w:val="0"/>
                      <w:sz w:val="21"/>
                      <w:szCs w:val="21"/>
                    </w:rPr>
                    <w:t>序号</w:t>
                  </w:r>
                </w:p>
              </w:tc>
              <w:tc>
                <w:tcPr>
                  <w:tcW w:w="528"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主要生产单元</w:t>
                  </w:r>
                </w:p>
              </w:tc>
              <w:tc>
                <w:tcPr>
                  <w:tcW w:w="52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主要工艺</w:t>
                  </w:r>
                </w:p>
              </w:tc>
              <w:tc>
                <w:tcPr>
                  <w:tcW w:w="140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kern w:val="0"/>
                      <w:sz w:val="21"/>
                      <w:szCs w:val="21"/>
                    </w:rPr>
                    <w:t>名称</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b/>
                      <w:sz w:val="21"/>
                      <w:szCs w:val="21"/>
                    </w:rPr>
                  </w:pPr>
                  <w:r>
                    <w:rPr>
                      <w:rFonts w:hint="default" w:ascii="Times New Roman" w:hAnsi="Times New Roman" w:eastAsia="宋体" w:cs="Times New Roman"/>
                      <w:b/>
                      <w:kern w:val="0"/>
                      <w:sz w:val="21"/>
                      <w:szCs w:val="21"/>
                    </w:rPr>
                    <w:t>规格型号</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lang w:val="en-US" w:eastAsia="zh-CN"/>
                    </w:rPr>
                    <w:t>设计数量（套）</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b/>
                      <w:sz w:val="21"/>
                      <w:szCs w:val="21"/>
                      <w:lang w:eastAsia="zh-CN"/>
                    </w:rPr>
                  </w:pPr>
                  <w:r>
                    <w:rPr>
                      <w:rFonts w:hint="default" w:ascii="Times New Roman" w:hAnsi="Times New Roman" w:eastAsia="宋体" w:cs="Times New Roman"/>
                      <w:b/>
                      <w:sz w:val="21"/>
                      <w:szCs w:val="21"/>
                      <w:lang w:val="en-US" w:eastAsia="zh-CN"/>
                    </w:rPr>
                    <w:t>实际</w:t>
                  </w:r>
                  <w:r>
                    <w:rPr>
                      <w:rFonts w:hint="default" w:ascii="Times New Roman" w:hAnsi="Times New Roman" w:eastAsia="宋体" w:cs="Times New Roman"/>
                      <w:b/>
                      <w:sz w:val="21"/>
                      <w:szCs w:val="21"/>
                    </w:rPr>
                    <w:t>数量</w:t>
                  </w:r>
                  <w:r>
                    <w:rPr>
                      <w:rFonts w:hint="default" w:ascii="Times New Roman" w:hAnsi="Times New Roman" w:eastAsia="宋体" w:cs="Times New Roman"/>
                      <w:b/>
                      <w:sz w:val="21"/>
                      <w:szCs w:val="21"/>
                      <w:lang w:eastAsia="zh-CN"/>
                    </w:rPr>
                    <w:t>（</w:t>
                  </w:r>
                  <w:r>
                    <w:rPr>
                      <w:rFonts w:hint="default" w:ascii="Times New Roman" w:hAnsi="Times New Roman" w:eastAsia="宋体" w:cs="Times New Roman"/>
                      <w:b/>
                      <w:sz w:val="21"/>
                      <w:szCs w:val="21"/>
                      <w:lang w:val="en-US" w:eastAsia="zh-CN"/>
                    </w:rPr>
                    <w:t>套</w:t>
                  </w:r>
                  <w:r>
                    <w:rPr>
                      <w:rFonts w:hint="default" w:ascii="Times New Roman" w:hAnsi="Times New Roman" w:eastAsia="宋体" w:cs="Times New Roman"/>
                      <w:b/>
                      <w:sz w:val="21"/>
                      <w:szCs w:val="21"/>
                      <w:lang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528" w:type="pct"/>
                  <w:vMerge w:val="restar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实验分析</w:t>
                  </w:r>
                </w:p>
              </w:tc>
              <w:tc>
                <w:tcPr>
                  <w:tcW w:w="521" w:type="pct"/>
                  <w:vMerge w:val="restar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实验分析</w:t>
                  </w: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比色管架</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50mL</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5</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立式压力蒸汽灭菌器</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BXM-30R</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立式压力蒸汽灭菌器</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LX-B50L</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电子天平</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GL224-1SCN</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电子天平</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SQP Quintix125D-1CN</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电子天平</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HZT-A1000</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7</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紫外可见分光光度计</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UV-1900i</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8</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Style w:val="39"/>
                      <w:rFonts w:hint="default" w:ascii="Times New Roman" w:hAnsi="Times New Roman" w:eastAsia="宋体" w:cs="Times New Roman"/>
                      <w:sz w:val="21"/>
                      <w:szCs w:val="21"/>
                      <w:lang w:val="en-US" w:eastAsia="zh-CN" w:bidi="ar"/>
                    </w:rPr>
                    <w:t>可见分光光度计</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T6新悦</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9</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试剂瓶</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250mL</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30</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移液管</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5mL、10mL</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11</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蒸馏瓶</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500mL</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定量滤纸</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中号</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容量瓶</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100mL</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20</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水中油份浓度分析仪</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ET1200</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自动萃取仪</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ET3200B</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16</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比色皿</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10mm、20mm、30mm</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17</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加热套</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18</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气相色谱仪</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GC-2014C</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19</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气相色谱仪</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GC-201</w:t>
                  </w:r>
                  <w:r>
                    <w:rPr>
                      <w:rFonts w:hint="default" w:ascii="Times New Roman" w:hAnsi="Times New Roman" w:eastAsia="宋体" w:cs="Times New Roman"/>
                      <w:sz w:val="21"/>
                      <w:szCs w:val="21"/>
                      <w:lang w:val="en-US" w:eastAsia="zh-CN"/>
                    </w:rPr>
                    <w:t>0Pro</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GB" w:eastAsia="zh-CN" w:bidi="ar-SA"/>
                    </w:rPr>
                  </w:pPr>
                  <w:r>
                    <w:rPr>
                      <w:rFonts w:hint="default" w:ascii="Times New Roman" w:hAnsi="Times New Roman" w:eastAsia="宋体" w:cs="Times New Roman"/>
                      <w:kern w:val="2"/>
                      <w:sz w:val="21"/>
                      <w:szCs w:val="21"/>
                      <w:lang w:val="en-GB" w:eastAsia="zh-CN" w:bidi="ar-SA"/>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原子荧光分光光度计</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PF3</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21</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电热鼓风恒温干燥箱</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CJ-101-2A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鼓风干燥箱</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JC-101-2AD</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箱式电阻炉</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cs="Times New Roman"/>
                    </w:rPr>
                    <w:t>SX-4-10</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水浴锅</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JC-SY 双列</w:t>
                  </w:r>
                  <w:r>
                    <w:rPr>
                      <w:rStyle w:val="40"/>
                      <w:rFonts w:hint="default" w:ascii="Times New Roman" w:hAnsi="Times New Roman" w:eastAsia="宋体" w:cs="Times New Roman"/>
                      <w:sz w:val="21"/>
                      <w:szCs w:val="21"/>
                      <w:lang w:val="en-US" w:eastAsia="zh-CN" w:bidi="ar"/>
                    </w:rPr>
                    <w:t>6</w:t>
                  </w:r>
                  <w:r>
                    <w:rPr>
                      <w:rFonts w:hint="default" w:ascii="Times New Roman" w:hAnsi="Times New Roman" w:eastAsia="宋体" w:cs="Times New Roman"/>
                      <w:i w:val="0"/>
                      <w:iCs w:val="0"/>
                      <w:color w:val="000000"/>
                      <w:kern w:val="0"/>
                      <w:sz w:val="21"/>
                      <w:szCs w:val="21"/>
                      <w:u w:val="none"/>
                      <w:lang w:val="en-US" w:eastAsia="zh-CN" w:bidi="ar"/>
                    </w:rPr>
                    <w:t>孔</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电热恒温水浴锅</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DZKW-S-8</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26</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水浴氮吹仪</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JHD-003</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27</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恒温水浴振荡器</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SHA-CA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28</w:t>
                  </w:r>
                </w:p>
              </w:tc>
              <w:tc>
                <w:tcPr>
                  <w:tcW w:w="528" w:type="pct"/>
                  <w:vMerge w:val="continue"/>
                  <w:noWrap/>
                  <w:vAlign w:val="center"/>
                </w:tcPr>
                <w:p>
                  <w:pPr>
                    <w:adjustRightInd w:val="0"/>
                    <w:snapToGrid w:val="0"/>
                    <w:jc w:val="center"/>
                    <w:rPr>
                      <w:rFonts w:hint="default" w:ascii="Times New Roman" w:hAnsi="Times New Roman" w:eastAsia="宋体" w:cs="Times New Roman"/>
                      <w:kern w:val="0"/>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kern w:val="0"/>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生化培养箱</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SPX-250B</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29</w:t>
                  </w:r>
                </w:p>
              </w:tc>
              <w:tc>
                <w:tcPr>
                  <w:tcW w:w="528" w:type="pct"/>
                  <w:vMerge w:val="continue"/>
                  <w:noWrap/>
                  <w:vAlign w:val="center"/>
                </w:tcPr>
                <w:p>
                  <w:pPr>
                    <w:adjustRightInd w:val="0"/>
                    <w:snapToGrid w:val="0"/>
                    <w:jc w:val="center"/>
                    <w:rPr>
                      <w:rFonts w:hint="default" w:ascii="Times New Roman" w:hAnsi="Times New Roman" w:eastAsia="宋体" w:cs="Times New Roman"/>
                      <w:kern w:val="0"/>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kern w:val="0"/>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生化培养箱</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LRH-70</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30</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COD消解仪</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LH-12F</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31</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COD回流消解仪</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H3001</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智能COD回流消解仪</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H3002</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比色管</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10ml、25ml、50ml</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150</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水系滤膜</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50mm</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pH计</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SX751</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36</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pH计</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FE28</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GB"/>
                    </w:rPr>
                  </w:pPr>
                  <w:r>
                    <w:rPr>
                      <w:rFonts w:hint="default" w:ascii="Times New Roman" w:hAnsi="Times New Roman" w:eastAsia="宋体" w:cs="Times New Roman"/>
                      <w:sz w:val="21"/>
                      <w:szCs w:val="21"/>
                      <w:lang w:val="en-GB"/>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37</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抽气泵</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SHZ-D</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38</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磁力搅拌器</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HJ-2A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39</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cs="Times New Roman"/>
                      <w:sz w:val="21"/>
                      <w:szCs w:val="21"/>
                    </w:rPr>
                    <w:t>恒温多头磁力搅拌器</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HJ-6A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40</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美德时多功能温湿度计</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JR912</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3</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41</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活性炭采样管</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2</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虹吸管</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溶解氧测试仪</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SX751</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trike w:val="0"/>
                      <w:dstrike w:val="0"/>
                      <w:sz w:val="21"/>
                      <w:szCs w:val="21"/>
                      <w:lang w:eastAsia="zh-CN"/>
                    </w:rPr>
                  </w:pPr>
                  <w:r>
                    <w:rPr>
                      <w:rFonts w:hint="default" w:ascii="Times New Roman" w:hAnsi="Times New Roman" w:eastAsia="宋体" w:cs="Times New Roman"/>
                      <w:strike w:val="0"/>
                      <w:dstrike w:val="0"/>
                      <w:sz w:val="21"/>
                      <w:szCs w:val="21"/>
                    </w:rPr>
                    <w:t>石墨</w:t>
                  </w:r>
                  <w:r>
                    <w:rPr>
                      <w:rFonts w:hint="default" w:ascii="Times New Roman" w:hAnsi="Times New Roman" w:eastAsia="宋体" w:cs="Times New Roman"/>
                      <w:strike w:val="0"/>
                      <w:dstrike w:val="0"/>
                      <w:sz w:val="21"/>
                      <w:szCs w:val="21"/>
                      <w:lang w:val="en-US" w:eastAsia="zh-CN"/>
                    </w:rPr>
                    <w:t>电热板</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strike w:val="0"/>
                      <w:dstrike w:val="0"/>
                      <w:sz w:val="21"/>
                      <w:szCs w:val="21"/>
                    </w:rPr>
                  </w:pPr>
                  <w:r>
                    <w:rPr>
                      <w:rFonts w:hint="default" w:ascii="Times New Roman" w:hAnsi="Times New Roman" w:eastAsia="宋体" w:cs="Times New Roman"/>
                      <w:i w:val="0"/>
                      <w:iCs w:val="0"/>
                      <w:strike w:val="0"/>
                      <w:color w:val="000000"/>
                      <w:kern w:val="0"/>
                      <w:sz w:val="21"/>
                      <w:szCs w:val="21"/>
                      <w:u w:val="none"/>
                      <w:lang w:val="en-US" w:eastAsia="zh-CN" w:bidi="ar"/>
                    </w:rPr>
                    <w:t>DB-3EFS</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trike w:val="0"/>
                      <w:dstrike w:val="0"/>
                      <w:kern w:val="2"/>
                      <w:sz w:val="21"/>
                      <w:szCs w:val="21"/>
                      <w:lang w:val="en-US" w:eastAsia="zh-CN" w:bidi="ar-SA"/>
                    </w:rPr>
                  </w:pPr>
                  <w:r>
                    <w:rPr>
                      <w:rFonts w:hint="default" w:ascii="Times New Roman" w:hAnsi="Times New Roman" w:eastAsia="宋体" w:cs="Times New Roman"/>
                      <w:strike w:val="0"/>
                      <w:dstrike w:val="0"/>
                      <w:sz w:val="21"/>
                      <w:szCs w:val="21"/>
                    </w:rPr>
                    <w:t>1</w:t>
                  </w:r>
                </w:p>
              </w:tc>
              <w:tc>
                <w:tcPr>
                  <w:tcW w:w="691"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trike w:val="0"/>
                      <w:dstrike w:val="0"/>
                      <w:sz w:val="21"/>
                      <w:szCs w:val="21"/>
                      <w:lang w:val="en-US" w:eastAsia="zh-CN"/>
                    </w:rPr>
                  </w:pPr>
                  <w:r>
                    <w:rPr>
                      <w:rFonts w:hint="default" w:ascii="Times New Roman" w:hAnsi="Times New Roman" w:eastAsia="宋体" w:cs="Times New Roman"/>
                      <w:strike w:val="0"/>
                      <w:dstrike w:val="0"/>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加热板</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46</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超声清洗机</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47</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超纯水机</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JCYQW01</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48</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冰箱</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49</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冰柜</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50</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空调</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51</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原子吸收光度计（火焰</w:t>
                  </w:r>
                  <w:r>
                    <w:rPr>
                      <w:rFonts w:hint="default" w:ascii="Times New Roman" w:hAnsi="Times New Roman" w:eastAsia="宋体" w:cs="Times New Roman"/>
                      <w:sz w:val="21"/>
                      <w:szCs w:val="21"/>
                      <w:lang w:eastAsia="zh-CN"/>
                    </w:rPr>
                    <w:t>、石墨炉</w:t>
                  </w:r>
                  <w:r>
                    <w:rPr>
                      <w:rFonts w:hint="default" w:ascii="Times New Roman" w:hAnsi="Times New Roman" w:eastAsia="宋体" w:cs="Times New Roman"/>
                      <w:sz w:val="21"/>
                      <w:szCs w:val="21"/>
                    </w:rPr>
                    <w:t>）</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AA6880F</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离子色谱仪</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IC-16</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非甲烷总烃气相色谱仪</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GC9790</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 2 \* ROMAN \* MERGEFORMAT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II</w:t>
                  </w:r>
                  <w:r>
                    <w:rPr>
                      <w:rFonts w:hint="default" w:ascii="Times New Roman" w:hAnsi="Times New Roman" w:eastAsia="宋体" w:cs="Times New Roman"/>
                      <w:sz w:val="21"/>
                      <w:szCs w:val="21"/>
                    </w:rPr>
                    <w:fldChar w:fldCharType="end"/>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顶空进样器</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HS-10</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气质联用仪</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GCMS-QP2020NX</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56</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自动热脱附解析仪</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Auto TD</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57</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样品管</w:t>
                  </w:r>
                  <w:r>
                    <w:rPr>
                      <w:rFonts w:hint="default" w:ascii="Times New Roman" w:hAnsi="Times New Roman" w:eastAsia="宋体" w:cs="Times New Roman"/>
                      <w:sz w:val="21"/>
                      <w:szCs w:val="21"/>
                    </w:rPr>
                    <w:t>活化仪</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TDC20</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58</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氮吹仪</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JHD-003</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59</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固相萃取套装</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YM-12</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60</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索氏提取仪</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SXT-06</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61</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红外测油仪</w:t>
                  </w:r>
                </w:p>
              </w:tc>
              <w:tc>
                <w:tcPr>
                  <w:tcW w:w="837" w:type="pct"/>
                  <w:shd w:val="clear" w:color="auto" w:fill="auto"/>
                  <w:noWrap/>
                  <w:tcMar>
                    <w:top w:w="0" w:type="dxa"/>
                    <w:left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shd w:val="clear"/>
                      <w:lang w:val="en-US" w:eastAsia="zh-CN" w:bidi="ar"/>
                    </w:rPr>
                    <w:t>MAI-50G</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硫化物酸化吹气仪</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JCYQF01</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溶解氧测定仪</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JPSJ-605</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恒温恒湿称重系统</w:t>
                  </w:r>
                </w:p>
              </w:tc>
              <w:tc>
                <w:tcPr>
                  <w:tcW w:w="837"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JCYQF02</w:t>
                  </w:r>
                </w:p>
              </w:tc>
              <w:tc>
                <w:tcPr>
                  <w:tcW w:w="694"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w:t>
                  </w:r>
                </w:p>
              </w:tc>
              <w:tc>
                <w:tcPr>
                  <w:tcW w:w="691" w:type="pct"/>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lang w:val="en-GB"/>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手提式不锈钢压力蒸汽灭菌器</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YX280</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66</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酸度计</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PHS-3C</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67</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离子计</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PXS-215</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68</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离子计</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PXSJ-227L</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69</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电导率仪</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DDS-307</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70</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无臭气体制备系统</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ZT-550</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71</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高纯氢发生器</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GH-400</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氢气发生器</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SPH-300A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低噪音空气泵</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GA-380A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原吸 无油空气压缩泵</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W58-G</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全自动空气源</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SPB-3S</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76</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旋转蒸发器</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RE-52AA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77</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隔膜无油真空泵</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A0-1P</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78</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循环真空泵</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SHZ-D（III）</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79</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超声波清洗器</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KQ-600DE</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80</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旋转式压膜机</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MH3090XY</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81</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浊度计</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WZS-185A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菌落计数器</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LC-JLQ-IC</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热空气消毒箱</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GRX-9073A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生物显微镜</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XSP-2CA</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净化操作台</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SW-CJ-1D</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86</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万用电炉</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87</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台式低速离心机</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CenLee4K</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88</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电陶炉</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H22-X3</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89</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大气采样仪</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QC-1B</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highlight w:val="none"/>
                      <w:vertAlign w:val="baseline"/>
                      <w:lang w:val="en-US" w:eastAsia="zh-CN" w:bidi="ar-SA"/>
                    </w:rPr>
                  </w:pPr>
                  <w:r>
                    <w:rPr>
                      <w:rFonts w:hint="default" w:ascii="Times New Roman" w:hAnsi="Times New Roman" w:cs="Times New Roman"/>
                      <w:highlight w:val="none"/>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90</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恒温恒湿箱</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LHS-150SC</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91</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蒸馏仪</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A2081</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92</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样品室冷藏箱</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93</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理化分析室冷藏箱</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94</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试剂间冷藏箱</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21" w:type="pct"/>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95</w:t>
                  </w:r>
                </w:p>
              </w:tc>
              <w:tc>
                <w:tcPr>
                  <w:tcW w:w="528"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521" w:type="pct"/>
                  <w:vMerge w:val="continue"/>
                  <w:noWrap/>
                  <w:vAlign w:val="center"/>
                </w:tcPr>
                <w:p>
                  <w:pPr>
                    <w:adjustRightInd w:val="0"/>
                    <w:snapToGrid w:val="0"/>
                    <w:jc w:val="center"/>
                    <w:rPr>
                      <w:rFonts w:hint="default" w:ascii="Times New Roman" w:hAnsi="Times New Roman" w:eastAsia="宋体" w:cs="Times New Roman"/>
                      <w:sz w:val="21"/>
                      <w:szCs w:val="21"/>
                    </w:rPr>
                  </w:pPr>
                </w:p>
              </w:tc>
              <w:tc>
                <w:tcPr>
                  <w:tcW w:w="1404" w:type="pct"/>
                  <w:shd w:val="clear" w:color="auto" w:fill="auto"/>
                  <w:noWrap/>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热解析仪</w:t>
                  </w:r>
                </w:p>
              </w:tc>
              <w:tc>
                <w:tcPr>
                  <w:tcW w:w="837"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JX-1</w:t>
                  </w:r>
                </w:p>
              </w:tc>
              <w:tc>
                <w:tcPr>
                  <w:tcW w:w="694" w:type="pct"/>
                  <w:shd w:val="clear" w:color="auto" w:fill="auto"/>
                  <w:noWrap/>
                  <w:tcMar>
                    <w:top w:w="0" w:type="dxa"/>
                    <w:left w:w="0" w:type="dxa"/>
                    <w:right w:w="0" w:type="dxa"/>
                  </w:tcMar>
                  <w:vAlign w:val="center"/>
                </w:tcPr>
                <w:p>
                  <w:pPr>
                    <w:adjustRightInd w:val="0"/>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c>
                <w:tcPr>
                  <w:tcW w:w="691" w:type="pct"/>
                  <w:shd w:val="clear" w:color="auto" w:fill="auto"/>
                  <w:noWrap/>
                  <w:tcMar>
                    <w:top w:w="0" w:type="dxa"/>
                    <w:left w:w="0" w:type="dxa"/>
                    <w:right w:w="0" w:type="dxa"/>
                  </w:tcMar>
                  <w:vAlign w:val="center"/>
                </w:tcPr>
                <w:p>
                  <w:pPr>
                    <w:jc w:val="cente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val="en-US" w:eastAsia="zh-CN"/>
                    </w:rPr>
                    <w:t>1</w:t>
                  </w:r>
                </w:p>
              </w:tc>
            </w:tr>
          </w:tbl>
          <w:p>
            <w:pPr>
              <w:spacing w:line="360" w:lineRule="auto"/>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注：根据实验室生产经营情况，比色管、移液管、试剂瓶等耗材更换频率高，在实际使用过程中数量增加；热解析、</w:t>
            </w:r>
            <w:r>
              <w:rPr>
                <w:rFonts w:hint="eastAsia" w:ascii="Times New Roman" w:hAnsi="Times New Roman" w:cs="Times New Roman" w:eastAsiaTheme="minorEastAsia"/>
                <w:b/>
                <w:bCs/>
                <w:sz w:val="21"/>
                <w:szCs w:val="21"/>
              </w:rPr>
              <w:t>恒温恒湿称重系统</w:t>
            </w:r>
            <w:r>
              <w:rPr>
                <w:rFonts w:hint="eastAsia" w:ascii="Times New Roman" w:hAnsi="Times New Roman" w:cs="Times New Roman" w:eastAsiaTheme="minorEastAsia"/>
                <w:b/>
                <w:bCs/>
                <w:sz w:val="21"/>
                <w:szCs w:val="21"/>
                <w:lang w:val="en-US" w:eastAsia="zh-CN"/>
              </w:rPr>
              <w:t>等</w:t>
            </w:r>
            <w:r>
              <w:rPr>
                <w:rFonts w:hint="eastAsia" w:ascii="Times New Roman" w:hAnsi="Times New Roman" w:cs="Times New Roman"/>
                <w:b/>
                <w:bCs/>
                <w:sz w:val="21"/>
                <w:szCs w:val="21"/>
                <w:lang w:val="en-US" w:eastAsia="zh-CN"/>
              </w:rPr>
              <w:t>前端实验室</w:t>
            </w:r>
            <w:r>
              <w:rPr>
                <w:rFonts w:hint="eastAsia" w:ascii="Times New Roman" w:hAnsi="Times New Roman" w:cs="Times New Roman" w:eastAsiaTheme="minorEastAsia"/>
                <w:b/>
                <w:bCs/>
                <w:sz w:val="21"/>
                <w:szCs w:val="21"/>
                <w:lang w:val="en-US" w:eastAsia="zh-CN"/>
              </w:rPr>
              <w:t>设备，均为根据实验要求购置，确保</w:t>
            </w:r>
            <w:r>
              <w:rPr>
                <w:rFonts w:hint="eastAsia" w:ascii="Times New Roman" w:hAnsi="Times New Roman" w:cs="Times New Roman"/>
                <w:b/>
                <w:bCs/>
                <w:sz w:val="21"/>
                <w:szCs w:val="21"/>
                <w:lang w:val="en-US" w:eastAsia="zh-CN"/>
              </w:rPr>
              <w:t>检测</w:t>
            </w:r>
            <w:r>
              <w:rPr>
                <w:rFonts w:hint="eastAsia" w:ascii="Times New Roman" w:hAnsi="Times New Roman" w:cs="Times New Roman" w:eastAsiaTheme="minorEastAsia"/>
                <w:b/>
                <w:bCs/>
                <w:sz w:val="21"/>
                <w:szCs w:val="21"/>
                <w:lang w:val="en-US" w:eastAsia="zh-CN"/>
              </w:rPr>
              <w:t>精准度等；</w:t>
            </w:r>
            <w:r>
              <w:rPr>
                <w:rFonts w:hint="eastAsia" w:ascii="Times New Roman" w:hAnsi="Times New Roman" w:cs="Times New Roman"/>
                <w:b/>
                <w:bCs/>
                <w:sz w:val="21"/>
                <w:szCs w:val="21"/>
                <w:lang w:val="en-US" w:eastAsia="zh-CN"/>
              </w:rPr>
              <w:t>同时增加了一些辅助设备，例如理化分析室冷藏箱、试剂间冷藏箱等，确保样品的合规保存。以上增加的设备对项目产能影响不大。</w:t>
            </w:r>
          </w:p>
          <w:p>
            <w:pPr>
              <w:spacing w:line="360" w:lineRule="auto"/>
              <w:rPr>
                <w:rFonts w:hint="default" w:ascii="Times New Roman" w:hAnsi="Times New Roman" w:cs="Times New Roman"/>
                <w:b/>
                <w:bCs/>
                <w:sz w:val="24"/>
                <w:szCs w:val="32"/>
                <w:lang w:val="en-US" w:eastAsia="zh-CN"/>
              </w:rPr>
            </w:pPr>
            <w:r>
              <w:rPr>
                <w:rFonts w:hint="default" w:ascii="Times New Roman" w:hAnsi="Times New Roman" w:cs="Times New Roman"/>
                <w:b/>
                <w:bCs/>
                <w:sz w:val="24"/>
                <w:szCs w:val="32"/>
                <w:lang w:val="en-US" w:eastAsia="zh-CN"/>
              </w:rPr>
              <w:t>项目用排水平衡</w:t>
            </w:r>
          </w:p>
          <w:p>
            <w:pPr>
              <w:adjustRightInd w:val="0"/>
              <w:spacing w:line="360" w:lineRule="auto"/>
              <w:ind w:firstLine="480" w:firstLineChars="200"/>
              <w:rPr>
                <w:rFonts w:hint="default" w:ascii="Times New Roman" w:hAnsi="Times New Roman" w:eastAsia="宋体" w:cs="Times New Roman"/>
                <w:bCs/>
                <w:sz w:val="24"/>
                <w:szCs w:val="32"/>
              </w:rPr>
            </w:pPr>
            <w:r>
              <w:rPr>
                <w:rFonts w:hint="eastAsia" w:ascii="Times New Roman" w:hAnsi="Times New Roman" w:eastAsia="宋体" w:cs="Times New Roman"/>
                <w:bCs/>
                <w:sz w:val="24"/>
                <w:szCs w:val="32"/>
                <w:lang w:val="en-US" w:eastAsia="zh-CN"/>
              </w:rPr>
              <w:t>本项目用水主要为</w:t>
            </w:r>
            <w:r>
              <w:rPr>
                <w:rFonts w:hint="default" w:ascii="Times New Roman" w:hAnsi="Times New Roman" w:eastAsia="宋体" w:cs="Times New Roman"/>
                <w:bCs/>
                <w:sz w:val="24"/>
                <w:szCs w:val="32"/>
              </w:rPr>
              <w:t>生活用水、仪器设备清洗水、纯水制备机用水，均来自市政自来水管网。</w:t>
            </w:r>
          </w:p>
          <w:p>
            <w:pPr>
              <w:adjustRightInd w:val="0"/>
              <w:snapToGrid w:val="0"/>
              <w:spacing w:line="360" w:lineRule="auto"/>
              <w:ind w:firstLine="480" w:firstLineChars="200"/>
              <w:rPr>
                <w:rFonts w:hint="default" w:ascii="Times New Roman" w:hAnsi="Times New Roman" w:eastAsia="宋体" w:cs="Times New Roman"/>
                <w:bCs/>
                <w:color w:val="000000"/>
                <w:sz w:val="24"/>
                <w:szCs w:val="32"/>
              </w:rPr>
            </w:pPr>
            <w:r>
              <w:rPr>
                <w:rFonts w:hint="default" w:ascii="Times New Roman" w:hAnsi="Times New Roman" w:eastAsia="宋体" w:cs="Times New Roman"/>
                <w:bCs/>
                <w:color w:val="000000"/>
                <w:sz w:val="24"/>
                <w:szCs w:val="32"/>
              </w:rPr>
              <w:t>（1）生活用水</w:t>
            </w:r>
          </w:p>
          <w:p>
            <w:pPr>
              <w:adjustRightInd w:val="0"/>
              <w:snapToGrid w:val="0"/>
              <w:spacing w:line="360" w:lineRule="auto"/>
              <w:ind w:firstLine="480" w:firstLineChars="200"/>
              <w:rPr>
                <w:rFonts w:hint="default" w:ascii="Times New Roman" w:hAnsi="Times New Roman" w:eastAsia="宋体" w:cs="Times New Roman"/>
                <w:color w:val="000000"/>
                <w:sz w:val="24"/>
                <w:szCs w:val="32"/>
              </w:rPr>
            </w:pPr>
            <w:r>
              <w:rPr>
                <w:rFonts w:hint="default" w:ascii="Times New Roman" w:hAnsi="Times New Roman" w:eastAsia="宋体" w:cs="Times New Roman"/>
                <w:color w:val="000000"/>
                <w:sz w:val="24"/>
                <w:szCs w:val="32"/>
              </w:rPr>
              <w:t>本项目劳动定员30人，根据《建筑给水排水设计标准》（GB50015-2019），职工用水量按50L/d人计，年工作250天，则职工生活用水375t/a；根据《城市排水工程规划规范》（GB50318-2017）废水产生量以用水量的80%计，生活污水量300t/a，</w:t>
            </w:r>
            <w:r>
              <w:rPr>
                <w:rFonts w:hint="eastAsia" w:ascii="Times New Roman" w:hAnsi="Times New Roman" w:eastAsia="宋体" w:cs="Times New Roman"/>
                <w:color w:val="000000"/>
                <w:sz w:val="24"/>
                <w:szCs w:val="32"/>
                <w:lang w:val="en-US" w:eastAsia="zh-CN"/>
              </w:rPr>
              <w:t>生活污水最终</w:t>
            </w:r>
            <w:r>
              <w:rPr>
                <w:rFonts w:hint="default" w:ascii="Times New Roman" w:hAnsi="Times New Roman" w:eastAsia="宋体" w:cs="Times New Roman"/>
                <w:color w:val="000000"/>
                <w:sz w:val="24"/>
                <w:szCs w:val="32"/>
              </w:rPr>
              <w:t>接管至南通市东港排水有限公司集中处理。</w:t>
            </w:r>
          </w:p>
          <w:p>
            <w:pPr>
              <w:adjustRightInd w:val="0"/>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（2）仪器、器皿清洗用水</w:t>
            </w:r>
          </w:p>
          <w:p>
            <w:pPr>
              <w:adjustRightInd w:val="0"/>
              <w:snapToGrid w:val="0"/>
              <w:spacing w:line="360" w:lineRule="auto"/>
              <w:ind w:firstLine="480" w:firstLineChars="200"/>
              <w:rPr>
                <w:rFonts w:hint="eastAsia" w:ascii="Times New Roman" w:hAnsi="Times New Roman" w:eastAsia="宋体" w:cs="Times New Roman"/>
                <w:sz w:val="24"/>
                <w:szCs w:val="32"/>
                <w:lang w:val="en-US" w:eastAsia="zh-CN"/>
              </w:rPr>
            </w:pPr>
            <w:r>
              <w:rPr>
                <w:rFonts w:hint="default" w:ascii="Times New Roman" w:hAnsi="Times New Roman" w:eastAsia="宋体" w:cs="Times New Roman"/>
                <w:sz w:val="24"/>
                <w:szCs w:val="32"/>
              </w:rPr>
              <w:t>检验仪器及检验器皿使用完毕后需要进行清洗，企业清洗过程中不使用清洗剂，实验室清洗用水量为75t/a（其中自来水73.6t/a，纯水1.4t/a）。废水中头道清洗废液中污染物占比为99%，后续清洗废水中污染物占比1%。</w:t>
            </w:r>
            <w:r>
              <w:rPr>
                <w:rFonts w:hint="eastAsia" w:ascii="Times New Roman" w:hAnsi="Times New Roman" w:eastAsia="宋体" w:cs="Times New Roman"/>
                <w:sz w:val="24"/>
                <w:szCs w:val="32"/>
                <w:lang w:val="en-US" w:eastAsia="zh-CN"/>
              </w:rPr>
              <w:t>二道、三道清洗废水经污水处理系统处理后，接管至</w:t>
            </w:r>
            <w:r>
              <w:rPr>
                <w:rFonts w:hint="default" w:ascii="Times New Roman" w:hAnsi="Times New Roman" w:eastAsia="宋体" w:cs="Times New Roman"/>
                <w:sz w:val="24"/>
                <w:szCs w:val="32"/>
              </w:rPr>
              <w:t>东港排水有限公司</w:t>
            </w:r>
            <w:r>
              <w:rPr>
                <w:rFonts w:hint="eastAsia" w:ascii="Times New Roman" w:hAnsi="Times New Roman" w:eastAsia="宋体" w:cs="Times New Roman"/>
                <w:sz w:val="24"/>
                <w:szCs w:val="32"/>
                <w:lang w:eastAsia="zh-CN"/>
              </w:rPr>
              <w:t>；</w:t>
            </w:r>
            <w:r>
              <w:rPr>
                <w:rFonts w:hint="eastAsia" w:ascii="Times New Roman" w:hAnsi="Times New Roman" w:eastAsia="宋体" w:cs="Times New Roman"/>
                <w:sz w:val="24"/>
                <w:szCs w:val="32"/>
                <w:lang w:val="en-US" w:eastAsia="zh-CN"/>
              </w:rPr>
              <w:t>其余废水经由收集桶收集后，</w:t>
            </w:r>
            <w:r>
              <w:rPr>
                <w:rFonts w:hint="default" w:ascii="Times New Roman" w:hAnsi="Times New Roman" w:eastAsia="宋体" w:cs="Times New Roman"/>
                <w:sz w:val="24"/>
                <w:szCs w:val="32"/>
              </w:rPr>
              <w:t>交由有相应资质的单位处置</w:t>
            </w:r>
            <w:r>
              <w:rPr>
                <w:rFonts w:hint="eastAsia" w:ascii="Times New Roman" w:hAnsi="Times New Roman" w:eastAsia="宋体" w:cs="Times New Roman"/>
                <w:sz w:val="24"/>
                <w:szCs w:val="32"/>
                <w:lang w:eastAsia="zh-CN"/>
              </w:rPr>
              <w:t>。</w:t>
            </w:r>
          </w:p>
          <w:p>
            <w:pPr>
              <w:adjustRightInd w:val="0"/>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（3）纯水制备机用水</w:t>
            </w:r>
          </w:p>
          <w:p>
            <w:pPr>
              <w:adjustRightInd w:val="0"/>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本项目在配制试剂、清洗试剂瓶时需要用到纯水，采用反渗透法制备纯水，原水经活性炭过滤器以及发渗透膜处理后制备成纯水</w:t>
            </w:r>
            <w:r>
              <w:rPr>
                <w:rFonts w:hint="eastAsia" w:ascii="Times New Roman" w:hAnsi="Times New Roman" w:eastAsia="宋体" w:cs="Times New Roman"/>
                <w:sz w:val="24"/>
                <w:szCs w:val="32"/>
                <w:lang w:eastAsia="zh-CN"/>
              </w:rPr>
              <w:t>。</w:t>
            </w:r>
            <w:r>
              <w:rPr>
                <w:rFonts w:hint="default" w:ascii="Times New Roman" w:hAnsi="Times New Roman" w:eastAsia="宋体" w:cs="Times New Roman"/>
                <w:sz w:val="24"/>
                <w:szCs w:val="32"/>
              </w:rPr>
              <w:t>建设项目纯水制备机需用新鲜水量为4t/a，纯水制备过程中产生浓水、废活性炭、废RO膜，纯水制备率以70%计，则制备纯水会产生浓水水量为1.2t/a，水中主要污染物浓度为COD80mg/L、SS80mg/L，接管至东港排水有限公司。</w:t>
            </w:r>
          </w:p>
          <w:p>
            <w:pPr>
              <w:adjustRightInd w:val="0"/>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（4）实验室配置废液</w:t>
            </w:r>
          </w:p>
          <w:p>
            <w:pPr>
              <w:adjustRightInd w:val="0"/>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实验室分析试剂采用纯水调配使用，有少量实验室配置废液产生。本项目实验配制试剂用水量约为1.4t/a，实验配置过程中废液产生量按80%计，则实验室配置废液产生量约为1.12t/a，配置废液主要含酸、碱、有机物、重金属、有毒物质等，在实验室设置分类收集桶收集该废液，收集后定期交有资质进行处理。</w:t>
            </w:r>
          </w:p>
          <w:p>
            <w:pPr>
              <w:adjustRightInd w:val="0"/>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建设项目水平衡见图2-1。</w:t>
            </w:r>
          </w:p>
          <w:p>
            <w:pPr>
              <w:pStyle w:val="23"/>
              <w:widowControl w:val="0"/>
              <w:ind w:left="0" w:leftChars="0" w:firstLine="0" w:firstLineChars="0"/>
              <w:jc w:val="center"/>
              <w:rPr>
                <w:rFonts w:hint="default" w:ascii="Times New Roman" w:hAnsi="Times New Roman" w:cs="Times New Roman"/>
                <w:lang w:val="en-US" w:eastAsia="zh-CN"/>
              </w:rPr>
            </w:pPr>
            <w:bookmarkStart w:id="92" w:name="_Hlk132556869"/>
            <w:r>
              <w:rPr>
                <w:rFonts w:hint="default" w:ascii="Times New Roman" w:hAnsi="Times New Roman" w:cs="Times New Roman"/>
                <w:bCs/>
              </w:rPr>
              <w:object>
                <v:shape id="_x0000_i1025" o:spt="75" type="#_x0000_t75" style="height:333.55pt;width:381.05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bookmarkEnd w:id="92"/>
          </w:p>
          <w:p>
            <w:pPr>
              <w:spacing w:line="360" w:lineRule="auto"/>
              <w:jc w:val="center"/>
              <w:rPr>
                <w:rFonts w:hint="default" w:ascii="Times New Roman" w:hAnsi="Times New Roman" w:eastAsia="宋体" w:cs="Times New Roman"/>
                <w:b/>
                <w:bCs/>
                <w:sz w:val="21"/>
                <w:szCs w:val="24"/>
              </w:rPr>
            </w:pPr>
            <w:r>
              <w:rPr>
                <w:rFonts w:hint="default" w:ascii="Times New Roman" w:hAnsi="Times New Roman" w:eastAsia="宋体" w:cs="Times New Roman"/>
                <w:b/>
                <w:bCs/>
                <w:sz w:val="21"/>
                <w:szCs w:val="24"/>
                <w:lang w:val="en-US" w:eastAsia="zh-CN"/>
              </w:rPr>
              <w:t xml:space="preserve">图2-1  </w:t>
            </w:r>
            <w:r>
              <w:rPr>
                <w:rFonts w:hint="default" w:ascii="Times New Roman" w:hAnsi="Times New Roman" w:eastAsia="宋体" w:cs="Times New Roman"/>
                <w:b/>
                <w:bCs/>
                <w:sz w:val="21"/>
                <w:szCs w:val="24"/>
              </w:rPr>
              <w:t>建设项目</w:t>
            </w:r>
            <w:r>
              <w:rPr>
                <w:rFonts w:hint="default" w:ascii="Times New Roman" w:hAnsi="Times New Roman" w:eastAsia="宋体" w:cs="Times New Roman"/>
                <w:b/>
                <w:bCs/>
                <w:sz w:val="21"/>
                <w:szCs w:val="24"/>
                <w:highlight w:val="none"/>
              </w:rPr>
              <w:t>水平衡</w:t>
            </w:r>
            <w:r>
              <w:rPr>
                <w:rFonts w:hint="default" w:ascii="Times New Roman" w:hAnsi="Times New Roman" w:eastAsia="宋体" w:cs="Times New Roman"/>
                <w:b/>
                <w:bCs/>
                <w:sz w:val="21"/>
                <w:szCs w:val="24"/>
              </w:rPr>
              <w:t>图（单位：t/a）</w:t>
            </w:r>
          </w:p>
          <w:p>
            <w:pPr>
              <w:spacing w:line="360" w:lineRule="auto"/>
              <w:rPr>
                <w:rFonts w:hint="default" w:ascii="Times New Roman" w:hAnsi="Times New Roman" w:eastAsia="宋体" w:cs="Times New Roman"/>
                <w:b/>
                <w:bCs/>
                <w:sz w:val="24"/>
                <w:szCs w:val="32"/>
                <w:lang w:val="en-US" w:eastAsia="zh-CN"/>
              </w:rPr>
            </w:pPr>
            <w:r>
              <w:rPr>
                <w:rFonts w:hint="default" w:ascii="Times New Roman" w:hAnsi="Times New Roman" w:eastAsia="宋体" w:cs="Times New Roman"/>
                <w:b/>
                <w:bCs/>
                <w:sz w:val="24"/>
                <w:szCs w:val="32"/>
                <w:lang w:val="en-US" w:eastAsia="zh-CN"/>
              </w:rPr>
              <w:t>主要工艺流程及产污环节</w:t>
            </w:r>
          </w:p>
          <w:p>
            <w:pPr>
              <w:snapToGrid w:val="0"/>
              <w:spacing w:line="360" w:lineRule="auto"/>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建设项目主要从事环境监测业务，包括土壤检测、水质检测、空气和废气检测、噪声检测等四大类，建设项目的工艺流程如下所示：</w:t>
            </w:r>
          </w:p>
          <w:p>
            <w:pPr>
              <w:pStyle w:val="23"/>
              <w:widowControl w:val="0"/>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sz w:val="20"/>
              </w:rPr>
              <w:drawing>
                <wp:inline distT="0" distB="0" distL="0" distR="0">
                  <wp:extent cx="5166360" cy="2665095"/>
                  <wp:effectExtent l="0" t="0" r="15240" b="1905"/>
                  <wp:docPr id="1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9.jpeg"/>
                          <pic:cNvPicPr>
                            <a:picLocks noChangeAspect="1"/>
                          </pic:cNvPicPr>
                        </pic:nvPicPr>
                        <pic:blipFill>
                          <a:blip r:embed="rId7" cstate="print"/>
                          <a:stretch>
                            <a:fillRect/>
                          </a:stretch>
                        </pic:blipFill>
                        <pic:spPr>
                          <a:xfrm>
                            <a:off x="0" y="0"/>
                            <a:ext cx="5166543" cy="2665476"/>
                          </a:xfrm>
                          <a:prstGeom prst="rect">
                            <a:avLst/>
                          </a:prstGeom>
                        </pic:spPr>
                      </pic:pic>
                    </a:graphicData>
                  </a:graphic>
                </wp:inline>
              </w:drawing>
            </w:r>
          </w:p>
          <w:p>
            <w:pPr>
              <w:jc w:val="center"/>
              <w:rPr>
                <w:rFonts w:hint="default" w:ascii="Times New Roman" w:hAnsi="Times New Roman" w:eastAsia="宋体" w:cs="Times New Roman"/>
                <w:b/>
                <w:bCs/>
                <w:sz w:val="21"/>
                <w:szCs w:val="24"/>
              </w:rPr>
            </w:pPr>
            <w:r>
              <w:rPr>
                <w:rFonts w:hint="default" w:ascii="Times New Roman" w:hAnsi="Times New Roman" w:eastAsia="宋体" w:cs="Times New Roman"/>
                <w:b/>
                <w:bCs/>
                <w:sz w:val="21"/>
                <w:szCs w:val="24"/>
                <w:lang w:val="en-US" w:eastAsia="zh-CN"/>
              </w:rPr>
              <w:t xml:space="preserve">图2-2  </w:t>
            </w:r>
            <w:r>
              <w:rPr>
                <w:rFonts w:hint="default" w:ascii="Times New Roman" w:hAnsi="Times New Roman" w:eastAsia="宋体" w:cs="Times New Roman"/>
                <w:b/>
                <w:bCs/>
                <w:sz w:val="21"/>
                <w:szCs w:val="24"/>
              </w:rPr>
              <w:t>本项目气环境检测工艺流程图</w:t>
            </w:r>
          </w:p>
          <w:p>
            <w:pPr>
              <w:rPr>
                <w:rFonts w:hint="default" w:ascii="Times New Roman" w:hAnsi="Times New Roman" w:cs="Times New Roman"/>
              </w:rPr>
            </w:pPr>
          </w:p>
          <w:p>
            <w:pPr>
              <w:pStyle w:val="23"/>
              <w:widowControl w:val="0"/>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sz w:val="20"/>
              </w:rPr>
              <w:drawing>
                <wp:inline distT="0" distB="0" distL="0" distR="0">
                  <wp:extent cx="5097780" cy="3303905"/>
                  <wp:effectExtent l="0" t="0" r="7620" b="10795"/>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8" cstate="print"/>
                          <a:stretch>
                            <a:fillRect/>
                          </a:stretch>
                        </pic:blipFill>
                        <pic:spPr>
                          <a:xfrm>
                            <a:off x="0" y="0"/>
                            <a:ext cx="5123328" cy="3320241"/>
                          </a:xfrm>
                          <a:prstGeom prst="rect">
                            <a:avLst/>
                          </a:prstGeom>
                        </pic:spPr>
                      </pic:pic>
                    </a:graphicData>
                  </a:graphic>
                </wp:inline>
              </w:drawing>
            </w:r>
          </w:p>
          <w:p>
            <w:pPr>
              <w:adjustRightInd w:val="0"/>
              <w:snapToGrid w:val="0"/>
              <w:spacing w:line="360" w:lineRule="auto"/>
              <w:jc w:val="center"/>
              <w:rPr>
                <w:rFonts w:hint="default" w:ascii="Times New Roman" w:hAnsi="Times New Roman" w:eastAsia="宋体" w:cs="Times New Roman"/>
                <w:b/>
                <w:bCs/>
                <w:sz w:val="21"/>
                <w:szCs w:val="24"/>
              </w:rPr>
            </w:pPr>
            <w:r>
              <w:rPr>
                <w:rFonts w:hint="default" w:ascii="Times New Roman" w:hAnsi="Times New Roman" w:eastAsia="宋体" w:cs="Times New Roman"/>
                <w:b/>
                <w:bCs/>
                <w:sz w:val="21"/>
                <w:szCs w:val="24"/>
                <w:lang w:val="en-US" w:eastAsia="zh-CN"/>
              </w:rPr>
              <w:t xml:space="preserve">图2-3  </w:t>
            </w:r>
            <w:r>
              <w:rPr>
                <w:rFonts w:hint="default" w:ascii="Times New Roman" w:hAnsi="Times New Roman" w:eastAsia="宋体" w:cs="Times New Roman"/>
                <w:b/>
                <w:bCs/>
                <w:sz w:val="21"/>
                <w:szCs w:val="24"/>
              </w:rPr>
              <w:t>本项目水环境检测工艺流程图</w:t>
            </w:r>
          </w:p>
          <w:p>
            <w:pPr>
              <w:jc w:val="center"/>
              <w:rPr>
                <w:rFonts w:hint="default" w:ascii="Times New Roman" w:hAnsi="Times New Roman" w:cs="Times New Roman"/>
                <w:lang w:val="en-US" w:eastAsia="zh-CN"/>
              </w:rPr>
            </w:pPr>
            <w:r>
              <w:rPr>
                <w:rFonts w:hint="default" w:ascii="Times New Roman" w:hAnsi="Times New Roman" w:cs="Times New Roman"/>
                <w:sz w:val="20"/>
              </w:rPr>
              <w:drawing>
                <wp:inline distT="0" distB="0" distL="0" distR="0">
                  <wp:extent cx="5172075" cy="2468880"/>
                  <wp:effectExtent l="0" t="0" r="9525" b="7620"/>
                  <wp:docPr id="2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0.jpeg"/>
                          <pic:cNvPicPr>
                            <a:picLocks noChangeAspect="1"/>
                          </pic:cNvPicPr>
                        </pic:nvPicPr>
                        <pic:blipFill>
                          <a:blip r:embed="rId9" cstate="print"/>
                          <a:stretch>
                            <a:fillRect/>
                          </a:stretch>
                        </pic:blipFill>
                        <pic:spPr>
                          <a:xfrm>
                            <a:off x="0" y="0"/>
                            <a:ext cx="5176694" cy="2471177"/>
                          </a:xfrm>
                          <a:prstGeom prst="rect">
                            <a:avLst/>
                          </a:prstGeom>
                        </pic:spPr>
                      </pic:pic>
                    </a:graphicData>
                  </a:graphic>
                </wp:inline>
              </w:drawing>
            </w:r>
          </w:p>
          <w:p>
            <w:pPr>
              <w:adjustRightInd w:val="0"/>
              <w:snapToGrid w:val="0"/>
              <w:spacing w:line="360" w:lineRule="auto"/>
              <w:jc w:val="center"/>
              <w:rPr>
                <w:rFonts w:hint="default" w:ascii="Times New Roman" w:hAnsi="Times New Roman" w:eastAsia="宋体" w:cs="Times New Roman"/>
                <w:b/>
                <w:bCs/>
                <w:sz w:val="21"/>
                <w:szCs w:val="24"/>
              </w:rPr>
            </w:pPr>
            <w:r>
              <w:rPr>
                <w:rFonts w:hint="default" w:ascii="Times New Roman" w:hAnsi="Times New Roman" w:eastAsia="宋体" w:cs="Times New Roman"/>
                <w:b/>
                <w:bCs/>
                <w:sz w:val="21"/>
                <w:szCs w:val="24"/>
                <w:lang w:val="en-US" w:eastAsia="zh-CN"/>
              </w:rPr>
              <w:t xml:space="preserve">图2-4  </w:t>
            </w:r>
            <w:r>
              <w:rPr>
                <w:rFonts w:hint="default" w:ascii="Times New Roman" w:hAnsi="Times New Roman" w:eastAsia="宋体" w:cs="Times New Roman"/>
                <w:b/>
                <w:bCs/>
                <w:sz w:val="21"/>
                <w:szCs w:val="24"/>
              </w:rPr>
              <w:t>本项目土壤环境检测工艺流程图</w:t>
            </w:r>
          </w:p>
          <w:p>
            <w:pPr>
              <w:snapToGrid w:val="0"/>
              <w:spacing w:line="360" w:lineRule="auto"/>
              <w:jc w:val="left"/>
              <w:rPr>
                <w:rFonts w:hint="default" w:ascii="Times New Roman" w:hAnsi="Times New Roman" w:eastAsia="宋体" w:cs="Times New Roman"/>
                <w:b/>
                <w:bCs/>
                <w:sz w:val="24"/>
                <w:szCs w:val="32"/>
              </w:rPr>
            </w:pPr>
            <w:r>
              <w:rPr>
                <w:rFonts w:hint="default" w:ascii="Times New Roman" w:hAnsi="Times New Roman" w:eastAsia="宋体" w:cs="Times New Roman"/>
                <w:b/>
                <w:bCs/>
                <w:sz w:val="24"/>
                <w:szCs w:val="32"/>
              </w:rPr>
              <w:t>工艺流程简述：</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1、现场采样</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根据检测业务的要求，派采样人员赶赴现场利用智能中流量总悬浮颗粒采样器等现场采样仪器设备进行针对性的采取样品，此工序会有废的采样瓶（S1）产生。</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2、样品前处理</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将采样人员带回的样品在实验检测室内进行样品前处理，样品前处理的作用是为后续的分析检测环节创造良好的检测条件，此环节中配取试剂溶液时会有化学试剂挥发产生的挥发废气（G1），仪器设备润洗产生的设备清洗废水（W1），化学试剂使用过程中产生的废试剂瓶以及实验废液、废包装材料（S2）。</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3、实验室分析检测</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对经过前处理后的样品利用化学分析方法或者仪器分析方法，采用紫外可见分光光度计、原子吸收分光光度计等仪器设备对其进行分析检测，此环节中配取试剂溶液、检测化验时会有化学试剂挥发产生的挥发废气（G2）、原子吸收分光光度计仪器中乙炔气体燃烧产生的燃烧废气（G4），实验时产生的实验废液、废检测耗材（S3），以及相关实验仪器产生的噪声（N1）。</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4、实验室清洁</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实验检测完成后，需要对实验室进行清洁打扫，对相关仪器设备进行清洁，此环节中会产生清洗废气（G3），设备清洗废水（W2）清洗废液以及废的玻璃瓶（S4）。</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5、出分析结果</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样品经检测过后，技术人员对检测数据进行数据处理，得出分析结果。此环节无污染物产生。</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6、出示检测报告</w:t>
            </w:r>
          </w:p>
          <w:p>
            <w:pPr>
              <w:snapToGrid w:val="0"/>
              <w:spacing w:line="360" w:lineRule="auto"/>
              <w:ind w:firstLine="480" w:firstLineChars="200"/>
              <w:rPr>
                <w:rFonts w:hint="default" w:ascii="Times New Roman" w:hAnsi="Times New Roman" w:eastAsia="宋体" w:cs="Times New Roman"/>
                <w:sz w:val="24"/>
                <w:szCs w:val="32"/>
              </w:rPr>
            </w:pPr>
            <w:r>
              <w:rPr>
                <w:rFonts w:hint="default" w:ascii="Times New Roman" w:hAnsi="Times New Roman" w:eastAsia="宋体" w:cs="Times New Roman"/>
                <w:sz w:val="24"/>
                <w:szCs w:val="32"/>
              </w:rPr>
              <w:t>将得出的分析结果打印出，编制成检测报告交付给委托方，此环节无污染物产生。</w:t>
            </w:r>
          </w:p>
          <w:p>
            <w:pPr>
              <w:rPr>
                <w:rFonts w:hint="default" w:ascii="Times New Roman" w:hAnsi="Times New Roman" w:eastAsia="宋体" w:cs="Times New Roman"/>
                <w:b/>
                <w:bCs/>
                <w:sz w:val="24"/>
                <w:szCs w:val="32"/>
                <w:highlight w:val="none"/>
                <w:lang w:val="en-US" w:eastAsia="zh-CN"/>
              </w:rPr>
            </w:pPr>
            <w:r>
              <w:rPr>
                <w:rFonts w:hint="default" w:ascii="Times New Roman" w:hAnsi="Times New Roman" w:eastAsia="宋体" w:cs="Times New Roman"/>
                <w:b/>
                <w:bCs/>
                <w:sz w:val="24"/>
                <w:szCs w:val="32"/>
                <w:highlight w:val="none"/>
                <w:lang w:val="en-US" w:eastAsia="zh-CN"/>
              </w:rPr>
              <w:t>项目变动情况：</w:t>
            </w:r>
          </w:p>
          <w:p>
            <w:pPr>
              <w:keepNext w:val="0"/>
              <w:keepLines w:val="0"/>
              <w:pageBreakBefore w:val="0"/>
              <w:widowControl w:val="0"/>
              <w:suppressLineNumbers w:val="0"/>
              <w:tabs>
                <w:tab w:val="left" w:pos="210"/>
              </w:tabs>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0"/>
              <w:rPr>
                <w:rFonts w:hint="default" w:ascii="Times New Roman" w:hAnsi="Times New Roman" w:cs="Times New Roman"/>
                <w:lang w:val="en-US" w:eastAsia="zh-CN"/>
              </w:rPr>
            </w:pPr>
            <w:r>
              <w:rPr>
                <w:rFonts w:hint="default" w:ascii="Times New Roman" w:hAnsi="Times New Roman" w:eastAsia="宋体" w:cs="Times New Roman"/>
                <w:b/>
                <w:bCs/>
                <w:sz w:val="24"/>
                <w:szCs w:val="24"/>
              </w:rPr>
              <w:t>表</w:t>
            </w:r>
            <w:r>
              <w:rPr>
                <w:rFonts w:hint="default" w:ascii="Times New Roman" w:hAnsi="Times New Roman" w:eastAsia="宋体" w:cs="Times New Roman"/>
                <w:b/>
                <w:bCs/>
                <w:sz w:val="24"/>
                <w:szCs w:val="24"/>
                <w:lang w:val="en-US" w:eastAsia="zh-CN"/>
              </w:rPr>
              <w:t>2</w:t>
            </w:r>
            <w:r>
              <w:rPr>
                <w:rFonts w:hint="default" w:ascii="Times New Roman" w:hAnsi="Times New Roman" w:eastAsia="宋体" w:cs="Times New Roman"/>
                <w:b/>
                <w:bCs/>
                <w:sz w:val="24"/>
                <w:szCs w:val="24"/>
              </w:rPr>
              <w:t>-</w:t>
            </w:r>
            <w:r>
              <w:rPr>
                <w:rFonts w:hint="default" w:ascii="Times New Roman" w:hAnsi="Times New Roman" w:eastAsia="宋体" w:cs="Times New Roman"/>
                <w:b/>
                <w:bCs/>
                <w:sz w:val="24"/>
                <w:szCs w:val="24"/>
                <w:lang w:val="en-US" w:eastAsia="zh-CN"/>
              </w:rPr>
              <w:t xml:space="preserve">5 </w:t>
            </w:r>
            <w:r>
              <w:rPr>
                <w:rFonts w:hint="default" w:ascii="Times New Roman" w:hAnsi="Times New Roman" w:eastAsia="宋体" w:cs="Times New Roman"/>
                <w:b/>
                <w:bCs/>
                <w:sz w:val="24"/>
                <w:szCs w:val="24"/>
              </w:rPr>
              <w:t xml:space="preserve"> 建设项目环境影响变动分析</w:t>
            </w:r>
          </w:p>
          <w:tbl>
            <w:tblPr>
              <w:tblStyle w:val="21"/>
              <w:tblW w:w="8306" w:type="dxa"/>
              <w:tblInd w:w="5"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3426"/>
              <w:gridCol w:w="2706"/>
              <w:gridCol w:w="117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tcBorders>
                    <w:tl2br w:val="nil"/>
                    <w:tr2bl w:val="nil"/>
                  </w:tcBorders>
                  <w:vAlign w:val="center"/>
                </w:tcPr>
                <w:p>
                  <w:pPr>
                    <w:ind w:left="81" w:lef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eastAsia="宋体" w:cs="Times New Roman"/>
                      <w:b/>
                      <w:sz w:val="21"/>
                      <w:szCs w:val="21"/>
                    </w:rPr>
                    <w:t>类别</w:t>
                  </w:r>
                </w:p>
              </w:tc>
              <w:tc>
                <w:tcPr>
                  <w:tcW w:w="3426" w:type="dxa"/>
                  <w:tcBorders>
                    <w:tl2br w:val="nil"/>
                    <w:tr2bl w:val="nil"/>
                  </w:tcBorders>
                  <w:vAlign w:val="center"/>
                </w:tcPr>
                <w:p>
                  <w:pPr>
                    <w:ind w:left="1" w:lef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eastAsia="宋体" w:cs="Times New Roman"/>
                      <w:b/>
                      <w:sz w:val="21"/>
                      <w:szCs w:val="21"/>
                    </w:rPr>
                    <w:t>文件内容</w:t>
                  </w:r>
                </w:p>
              </w:tc>
              <w:tc>
                <w:tcPr>
                  <w:tcW w:w="2706" w:type="dxa"/>
                  <w:tcBorders>
                    <w:tl2br w:val="nil"/>
                    <w:tr2bl w:val="nil"/>
                  </w:tcBorders>
                  <w:vAlign w:val="center"/>
                </w:tcPr>
                <w:p>
                  <w:pPr>
                    <w:ind w:left="210" w:lef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eastAsia="宋体" w:cs="Times New Roman"/>
                      <w:b/>
                      <w:sz w:val="21"/>
                      <w:szCs w:val="21"/>
                    </w:rPr>
                    <w:t>对照情况</w:t>
                  </w:r>
                </w:p>
              </w:tc>
              <w:tc>
                <w:tcPr>
                  <w:tcW w:w="1174" w:type="dxa"/>
                  <w:tcBorders>
                    <w:tl2br w:val="nil"/>
                    <w:tr2bl w:val="nil"/>
                  </w:tcBorders>
                  <w:vAlign w:val="center"/>
                </w:tcPr>
                <w:p>
                  <w:pPr>
                    <w:ind w:right="3" w:rightChars="0"/>
                    <w:jc w:val="center"/>
                    <w:rPr>
                      <w:rFonts w:hint="default" w:ascii="Times New Roman" w:hAnsi="Times New Roman" w:eastAsia="宋体" w:cs="Times New Roman"/>
                      <w:b/>
                      <w:kern w:val="2"/>
                      <w:sz w:val="21"/>
                      <w:szCs w:val="21"/>
                      <w:lang w:val="en-US" w:eastAsia="zh-CN" w:bidi="ar-SA"/>
                    </w:rPr>
                  </w:pPr>
                  <w:r>
                    <w:rPr>
                      <w:rFonts w:hint="default" w:ascii="Times New Roman" w:hAnsi="Times New Roman" w:eastAsia="宋体" w:cs="Times New Roman"/>
                      <w:b/>
                      <w:sz w:val="21"/>
                      <w:szCs w:val="21"/>
                    </w:rPr>
                    <w:t>是否属于重大变更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tcBorders>
                    <w:tl2br w:val="nil"/>
                    <w:tr2bl w:val="nil"/>
                  </w:tcBorders>
                  <w:vAlign w:val="center"/>
                </w:tcPr>
                <w:p>
                  <w:pPr>
                    <w:ind w:right="2" w:rightChars="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性质</w:t>
                  </w:r>
                </w:p>
              </w:tc>
              <w:tc>
                <w:tcPr>
                  <w:tcW w:w="3426" w:type="dxa"/>
                  <w:tcBorders>
                    <w:tl2br w:val="nil"/>
                    <w:tr2bl w:val="nil"/>
                  </w:tcBorders>
                  <w:vAlign w:val="center"/>
                </w:tcPr>
                <w:p>
                  <w:pPr>
                    <w:ind w:left="27" w:leftChars="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建设项目开发、使用功能发生变化的。</w:t>
                  </w:r>
                </w:p>
              </w:tc>
              <w:tc>
                <w:tcPr>
                  <w:tcW w:w="2706" w:type="dxa"/>
                  <w:tcBorders>
                    <w:tl2br w:val="nil"/>
                    <w:tr2bl w:val="nil"/>
                  </w:tcBorders>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eastAsia="宋体" w:cs="Times New Roman"/>
                      <w:b w:val="0"/>
                      <w:bCs w:val="0"/>
                      <w:color w:val="auto"/>
                      <w:kern w:val="2"/>
                      <w:sz w:val="21"/>
                      <w:szCs w:val="21"/>
                      <w:lang w:val="en-US" w:eastAsia="zh-CN" w:bidi="ar-SA"/>
                    </w:rPr>
                    <w:t>本项目为新建实验室项目，开发</w:t>
                  </w:r>
                  <w:r>
                    <w:rPr>
                      <w:rFonts w:hint="default" w:ascii="Times New Roman" w:hAnsi="Times New Roman" w:cs="Times New Roman"/>
                      <w:b w:val="0"/>
                      <w:bCs w:val="0"/>
                      <w:color w:val="auto"/>
                      <w:kern w:val="2"/>
                      <w:sz w:val="21"/>
                      <w:szCs w:val="21"/>
                      <w:lang w:val="en-US" w:eastAsia="zh-CN" w:bidi="ar-SA"/>
                    </w:rPr>
                    <w:t>、使用功能未发生变化。</w:t>
                  </w:r>
                </w:p>
              </w:tc>
              <w:tc>
                <w:tcPr>
                  <w:tcW w:w="1174" w:type="dxa"/>
                  <w:tcBorders>
                    <w:tl2br w:val="nil"/>
                    <w:tr2bl w:val="nil"/>
                  </w:tcBorders>
                  <w:vAlign w:val="center"/>
                </w:tcPr>
                <w:p>
                  <w:pPr>
                    <w:pStyle w:val="2"/>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restart"/>
                  <w:tcBorders>
                    <w:tl2br w:val="nil"/>
                    <w:tr2bl w:val="nil"/>
                  </w:tcBorders>
                  <w:vAlign w:val="center"/>
                </w:tcPr>
                <w:p>
                  <w:pPr>
                    <w:ind w:right="2" w:rightChars="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规模</w:t>
                  </w:r>
                </w:p>
              </w:tc>
              <w:tc>
                <w:tcPr>
                  <w:tcW w:w="3426" w:type="dxa"/>
                  <w:tcBorders>
                    <w:tl2br w:val="nil"/>
                    <w:tr2bl w:val="nil"/>
                  </w:tcBorders>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生产、处置或储存能力增大30%及以上</w:t>
                  </w:r>
                  <w:r>
                    <w:rPr>
                      <w:rFonts w:hint="default" w:ascii="Times New Roman" w:hAnsi="Times New Roman" w:eastAsia="宋体" w:cs="Times New Roman"/>
                      <w:bCs/>
                      <w:sz w:val="21"/>
                      <w:szCs w:val="21"/>
                      <w:lang w:eastAsia="zh-CN"/>
                    </w:rPr>
                    <w:t>。</w:t>
                  </w:r>
                </w:p>
              </w:tc>
              <w:tc>
                <w:tcPr>
                  <w:tcW w:w="2706" w:type="dxa"/>
                  <w:tcBorders>
                    <w:tl2br w:val="nil"/>
                    <w:tr2bl w:val="nil"/>
                  </w:tcBorders>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与环评一致。</w:t>
                  </w:r>
                </w:p>
              </w:tc>
              <w:tc>
                <w:tcPr>
                  <w:tcW w:w="1174" w:type="dxa"/>
                  <w:tcBorders>
                    <w:tl2br w:val="nil"/>
                    <w:tr2bl w:val="nil"/>
                  </w:tcBorders>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continue"/>
                  <w:tcBorders>
                    <w:tl2br w:val="nil"/>
                    <w:tr2bl w:val="nil"/>
                  </w:tcBorders>
                  <w:vAlign w:val="center"/>
                </w:tcPr>
                <w:p>
                  <w:pPr>
                    <w:pStyle w:val="2"/>
                    <w:jc w:val="center"/>
                    <w:rPr>
                      <w:rFonts w:hint="default" w:ascii="Times New Roman" w:hAnsi="Times New Roman" w:cs="Times New Roman"/>
                      <w:sz w:val="21"/>
                      <w:szCs w:val="21"/>
                      <w:vertAlign w:val="baseline"/>
                      <w:lang w:val="en-US" w:eastAsia="zh-CN"/>
                    </w:rPr>
                  </w:pPr>
                </w:p>
              </w:tc>
              <w:tc>
                <w:tcPr>
                  <w:tcW w:w="3426" w:type="dxa"/>
                  <w:tcBorders>
                    <w:tl2br w:val="nil"/>
                    <w:tr2bl w:val="nil"/>
                  </w:tcBorders>
                  <w:vAlign w:val="center"/>
                </w:tcPr>
                <w:p>
                  <w:pPr>
                    <w:jc w:val="both"/>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生产、处置或储存能力增大，导致废水第一类污染物排放量增加的。</w:t>
                  </w:r>
                </w:p>
              </w:tc>
              <w:tc>
                <w:tcPr>
                  <w:tcW w:w="2706" w:type="dxa"/>
                  <w:tcBorders>
                    <w:tl2br w:val="nil"/>
                    <w:tr2bl w:val="nil"/>
                  </w:tcBorders>
                  <w:vAlign w:val="center"/>
                </w:tcPr>
                <w:p>
                  <w:pPr>
                    <w:ind w:right="1" w:rightChars="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本项目生产、处置或储存能力未发生变化，本项目不涉及废水第一类污染物排放。</w:t>
                  </w:r>
                </w:p>
              </w:tc>
              <w:tc>
                <w:tcPr>
                  <w:tcW w:w="1174" w:type="dxa"/>
                  <w:tcBorders>
                    <w:tl2br w:val="nil"/>
                    <w:tr2bl w:val="nil"/>
                  </w:tcBorders>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continue"/>
                  <w:tcBorders>
                    <w:tl2br w:val="nil"/>
                    <w:tr2bl w:val="nil"/>
                  </w:tcBorders>
                  <w:vAlign w:val="center"/>
                </w:tcPr>
                <w:p>
                  <w:pPr>
                    <w:pStyle w:val="2"/>
                    <w:jc w:val="center"/>
                    <w:rPr>
                      <w:rFonts w:hint="default" w:ascii="Times New Roman" w:hAnsi="Times New Roman" w:cs="Times New Roman"/>
                      <w:sz w:val="21"/>
                      <w:szCs w:val="21"/>
                      <w:vertAlign w:val="baseline"/>
                      <w:lang w:val="en-US" w:eastAsia="zh-CN"/>
                    </w:rPr>
                  </w:pPr>
                </w:p>
              </w:tc>
              <w:tc>
                <w:tcPr>
                  <w:tcW w:w="3426" w:type="dxa"/>
                  <w:tcBorders>
                    <w:tl2br w:val="nil"/>
                    <w:tr2bl w:val="nil"/>
                  </w:tcBorders>
                  <w:vAlign w:val="center"/>
                </w:tcPr>
                <w:p>
                  <w:pPr>
                    <w:ind w:right="4" w:rightChars="0"/>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sz w:val="21"/>
                      <w:szCs w:val="21"/>
                    </w:rPr>
                    <w:t>位于环境质量不达标区的建设项目生产、处置或储存能力增大，导致相应污染物排放量增加的；位于达标区的建设项目生产、处置或储存能力增大，导致污染物排放量增加10%及以上的。</w:t>
                  </w:r>
                </w:p>
              </w:tc>
              <w:tc>
                <w:tcPr>
                  <w:tcW w:w="2706" w:type="dxa"/>
                  <w:tcBorders>
                    <w:tl2br w:val="nil"/>
                    <w:tr2bl w:val="nil"/>
                  </w:tcBorders>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eastAsia="宋体" w:cs="Times New Roman"/>
                      <w:b w:val="0"/>
                      <w:bCs/>
                      <w:sz w:val="21"/>
                    </w:rPr>
                    <w:t>本项目生产、处置或储存能力未发生变化，未导致污染物排放量增加。</w:t>
                  </w:r>
                </w:p>
              </w:tc>
              <w:tc>
                <w:tcPr>
                  <w:tcW w:w="1174" w:type="dxa"/>
                  <w:tcBorders>
                    <w:tl2br w:val="nil"/>
                    <w:tr2bl w:val="nil"/>
                  </w:tcBorders>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tcBorders>
                    <w:tl2br w:val="nil"/>
                    <w:tr2bl w:val="nil"/>
                  </w:tcBorders>
                  <w:vAlign w:val="center"/>
                </w:tcPr>
                <w:p>
                  <w:pPr>
                    <w:ind w:right="2" w:right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sz w:val="21"/>
                      <w:szCs w:val="21"/>
                    </w:rPr>
                    <w:t>地点</w:t>
                  </w:r>
                </w:p>
              </w:tc>
              <w:tc>
                <w:tcPr>
                  <w:tcW w:w="342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rPr>
                    <w:t>重新选址，在原厂址附近调整</w:t>
                  </w:r>
                  <w:r>
                    <w:rPr>
                      <w:rFonts w:hint="default" w:ascii="Times New Roman" w:hAnsi="Times New Roman" w:eastAsia="宋体" w:cs="Times New Roman"/>
                      <w:lang w:eastAsia="zh-CN"/>
                    </w:rPr>
                    <w:t>（</w:t>
                  </w:r>
                  <w:r>
                    <w:rPr>
                      <w:rFonts w:hint="default" w:ascii="Times New Roman" w:hAnsi="Times New Roman" w:eastAsia="宋体" w:cs="Times New Roman"/>
                    </w:rPr>
                    <w:t>包括总平面布置变化</w:t>
                  </w:r>
                  <w:r>
                    <w:rPr>
                      <w:rFonts w:hint="default" w:ascii="Times New Roman" w:hAnsi="Times New Roman" w:eastAsia="宋体" w:cs="Times New Roman"/>
                      <w:lang w:eastAsia="zh-CN"/>
                    </w:rPr>
                    <w:t>）</w:t>
                  </w:r>
                  <w:r>
                    <w:rPr>
                      <w:rFonts w:hint="default" w:ascii="Times New Roman" w:hAnsi="Times New Roman" w:eastAsia="宋体" w:cs="Times New Roman"/>
                    </w:rPr>
                    <w:t>导致环境防护距离范围变化且新增敏感点的</w:t>
                  </w:r>
                  <w:r>
                    <w:rPr>
                      <w:rFonts w:hint="default" w:ascii="Times New Roman" w:hAnsi="Times New Roman" w:eastAsia="宋体" w:cs="Times New Roman"/>
                      <w:lang w:eastAsia="zh-CN"/>
                    </w:rPr>
                    <w:t>。</w:t>
                  </w:r>
                </w:p>
              </w:tc>
              <w:tc>
                <w:tcPr>
                  <w:tcW w:w="2706" w:type="dxa"/>
                  <w:tcBorders>
                    <w:tl2br w:val="nil"/>
                    <w:tr2bl w:val="nil"/>
                  </w:tcBorders>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eastAsia="宋体" w:cs="Times New Roman"/>
                      <w:b w:val="0"/>
                      <w:bCs/>
                      <w:color w:val="000000"/>
                      <w:sz w:val="21"/>
                      <w:szCs w:val="21"/>
                    </w:rPr>
                    <w:t>总平面布置发生变化，未导致环境防护距离范围变化，未新增敏感点</w:t>
                  </w:r>
                  <w:r>
                    <w:rPr>
                      <w:rFonts w:hint="default" w:ascii="Times New Roman" w:hAnsi="Times New Roman" w:eastAsia="宋体" w:cs="Times New Roman"/>
                      <w:b w:val="0"/>
                      <w:bCs/>
                      <w:sz w:val="21"/>
                      <w:szCs w:val="21"/>
                    </w:rPr>
                    <w:t>。</w:t>
                  </w:r>
                </w:p>
              </w:tc>
              <w:tc>
                <w:tcPr>
                  <w:tcW w:w="1174" w:type="dxa"/>
                  <w:tcBorders>
                    <w:tl2br w:val="nil"/>
                    <w:tr2bl w:val="nil"/>
                  </w:tcBorders>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restart"/>
                  <w:vAlign w:val="center"/>
                </w:tcPr>
                <w:p>
                  <w:pPr>
                    <w:ind w:right="2" w:right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sz w:val="21"/>
                      <w:szCs w:val="21"/>
                    </w:rPr>
                    <w:t>生产工艺</w:t>
                  </w:r>
                </w:p>
              </w:tc>
              <w:tc>
                <w:tcPr>
                  <w:tcW w:w="342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rPr>
                    <w:t>新增产品品种或生产工艺</w:t>
                  </w:r>
                  <w:r>
                    <w:rPr>
                      <w:rFonts w:hint="default" w:ascii="Times New Roman" w:hAnsi="Times New Roman" w:eastAsia="宋体" w:cs="Times New Roman"/>
                      <w:lang w:eastAsia="zh-CN"/>
                    </w:rPr>
                    <w:t>（</w:t>
                  </w:r>
                  <w:r>
                    <w:rPr>
                      <w:rFonts w:hint="default" w:ascii="Times New Roman" w:hAnsi="Times New Roman" w:eastAsia="宋体" w:cs="Times New Roman"/>
                    </w:rPr>
                    <w:t>含主要生产装置、设备及配套设施</w:t>
                  </w:r>
                  <w:r>
                    <w:rPr>
                      <w:rFonts w:hint="default" w:ascii="Times New Roman" w:hAnsi="Times New Roman" w:eastAsia="宋体" w:cs="Times New Roman"/>
                      <w:lang w:eastAsia="zh-CN"/>
                    </w:rPr>
                    <w:t>）</w:t>
                  </w:r>
                  <w:r>
                    <w:rPr>
                      <w:rFonts w:hint="default" w:ascii="Times New Roman" w:hAnsi="Times New Roman" w:eastAsia="宋体" w:cs="Times New Roman"/>
                    </w:rPr>
                    <w:t>、主要原辅材料、燃料变化，导致以下情形之一</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1</w:t>
                  </w:r>
                  <w:r>
                    <w:rPr>
                      <w:rFonts w:hint="default" w:ascii="Times New Roman" w:hAnsi="Times New Roman" w:eastAsia="宋体" w:cs="Times New Roman"/>
                      <w:lang w:eastAsia="zh-CN"/>
                    </w:rPr>
                    <w:t>）</w:t>
                  </w:r>
                  <w:r>
                    <w:rPr>
                      <w:rFonts w:hint="default" w:ascii="Times New Roman" w:hAnsi="Times New Roman" w:eastAsia="宋体" w:cs="Times New Roman"/>
                    </w:rPr>
                    <w:t>新增排放污染物种类的</w:t>
                  </w:r>
                  <w:r>
                    <w:rPr>
                      <w:rFonts w:hint="default" w:ascii="Times New Roman" w:hAnsi="Times New Roman" w:eastAsia="宋体" w:cs="Times New Roman"/>
                      <w:lang w:eastAsia="zh-CN"/>
                    </w:rPr>
                    <w:t>（</w:t>
                  </w:r>
                  <w:r>
                    <w:rPr>
                      <w:rFonts w:hint="default" w:ascii="Times New Roman" w:hAnsi="Times New Roman" w:eastAsia="宋体" w:cs="Times New Roman"/>
                    </w:rPr>
                    <w:t>毒性、挥发性降低的除外</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2</w:t>
                  </w:r>
                  <w:r>
                    <w:rPr>
                      <w:rFonts w:hint="default" w:ascii="Times New Roman" w:hAnsi="Times New Roman" w:eastAsia="宋体" w:cs="Times New Roman"/>
                      <w:lang w:eastAsia="zh-CN"/>
                    </w:rPr>
                    <w:t>）</w:t>
                  </w:r>
                  <w:r>
                    <w:rPr>
                      <w:rFonts w:hint="default" w:ascii="Times New Roman" w:hAnsi="Times New Roman" w:eastAsia="宋体" w:cs="Times New Roman"/>
                    </w:rPr>
                    <w:t>位于环境质量不达标区的建设项目相应污染物排放量增加的</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3</w:t>
                  </w:r>
                  <w:r>
                    <w:rPr>
                      <w:rFonts w:hint="default" w:ascii="Times New Roman" w:hAnsi="Times New Roman" w:eastAsia="宋体" w:cs="Times New Roman"/>
                      <w:lang w:eastAsia="zh-CN"/>
                    </w:rPr>
                    <w:t>）</w:t>
                  </w:r>
                  <w:r>
                    <w:rPr>
                      <w:rFonts w:hint="default" w:ascii="Times New Roman" w:hAnsi="Times New Roman" w:eastAsia="宋体" w:cs="Times New Roman"/>
                    </w:rPr>
                    <w:t>废水第一类污染物排放量增加的</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4</w:t>
                  </w:r>
                  <w:r>
                    <w:rPr>
                      <w:rFonts w:hint="default" w:ascii="Times New Roman" w:hAnsi="Times New Roman" w:eastAsia="宋体" w:cs="Times New Roman"/>
                      <w:lang w:eastAsia="zh-CN"/>
                    </w:rPr>
                    <w:t>）</w:t>
                  </w:r>
                  <w:r>
                    <w:rPr>
                      <w:rFonts w:hint="default" w:ascii="Times New Roman" w:hAnsi="Times New Roman" w:eastAsia="宋体" w:cs="Times New Roman"/>
                    </w:rPr>
                    <w:t>其他污染物排放量增加10%及以上的。</w:t>
                  </w:r>
                </w:p>
              </w:tc>
              <w:tc>
                <w:tcPr>
                  <w:tcW w:w="2706" w:type="dxa"/>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与环评一致。</w:t>
                  </w:r>
                </w:p>
              </w:tc>
              <w:tc>
                <w:tcPr>
                  <w:tcW w:w="1174"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continue"/>
                  <w:vAlign w:val="center"/>
                </w:tcPr>
                <w:p>
                  <w:pPr>
                    <w:pStyle w:val="2"/>
                    <w:jc w:val="center"/>
                    <w:rPr>
                      <w:rFonts w:hint="default" w:ascii="Times New Roman" w:hAnsi="Times New Roman" w:cs="Times New Roman"/>
                      <w:sz w:val="21"/>
                      <w:szCs w:val="21"/>
                      <w:vertAlign w:val="baseline"/>
                      <w:lang w:val="en-US" w:eastAsia="zh-CN"/>
                    </w:rPr>
                  </w:pPr>
                </w:p>
              </w:tc>
              <w:tc>
                <w:tcPr>
                  <w:tcW w:w="342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rPr>
                    <w:t>物料运输、装卸、贮存方式变化，导致大气污染物无组织排放量增加10%及以上的</w:t>
                  </w:r>
                  <w:r>
                    <w:rPr>
                      <w:rFonts w:hint="default" w:ascii="Times New Roman" w:hAnsi="Times New Roman" w:eastAsia="宋体" w:cs="Times New Roman"/>
                      <w:lang w:eastAsia="zh-CN"/>
                    </w:rPr>
                    <w:t>。</w:t>
                  </w:r>
                </w:p>
              </w:tc>
              <w:tc>
                <w:tcPr>
                  <w:tcW w:w="2706" w:type="dxa"/>
                  <w:vAlign w:val="center"/>
                </w:tcPr>
                <w:p>
                  <w:pPr>
                    <w:pStyle w:val="2"/>
                    <w:spacing w:line="240" w:lineRule="auto"/>
                    <w:jc w:val="center"/>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color w:val="000000"/>
                      <w:sz w:val="21"/>
                      <w:szCs w:val="21"/>
                    </w:rPr>
                    <w:t>本项目物料运输、装卸、贮存方式未发生变化，未导致大气污染物无组织排放量增加</w:t>
                  </w:r>
                  <w:r>
                    <w:rPr>
                      <w:rFonts w:hint="default" w:ascii="Times New Roman" w:hAnsi="Times New Roman" w:cs="Times New Roman"/>
                      <w:b w:val="0"/>
                      <w:bCs/>
                      <w:color w:val="000000"/>
                      <w:sz w:val="21"/>
                      <w:szCs w:val="21"/>
                      <w:lang w:eastAsia="zh-CN"/>
                    </w:rPr>
                    <w:t>。</w:t>
                  </w:r>
                </w:p>
              </w:tc>
              <w:tc>
                <w:tcPr>
                  <w:tcW w:w="1174"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restart"/>
                  <w:vAlign w:val="center"/>
                </w:tcPr>
                <w:p>
                  <w:pPr>
                    <w:ind w:right="2" w:right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sz w:val="21"/>
                      <w:szCs w:val="21"/>
                    </w:rPr>
                    <w:t>环境保护措施</w:t>
                  </w:r>
                </w:p>
              </w:tc>
              <w:tc>
                <w:tcPr>
                  <w:tcW w:w="342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rPr>
                    <w:t>废气、废水污染防治措施变化，导致第6条中所列情形之一</w:t>
                  </w:r>
                  <w:r>
                    <w:rPr>
                      <w:rFonts w:hint="default" w:ascii="Times New Roman" w:hAnsi="Times New Roman" w:eastAsia="宋体" w:cs="Times New Roman"/>
                      <w:lang w:eastAsia="zh-CN"/>
                    </w:rPr>
                    <w:t>（</w:t>
                  </w:r>
                  <w:r>
                    <w:rPr>
                      <w:rFonts w:hint="default" w:ascii="Times New Roman" w:hAnsi="Times New Roman" w:eastAsia="宋体" w:cs="Times New Roman"/>
                    </w:rPr>
                    <w:t>废气无组织排放改为有组织排放、污染防治措施强化或改进的除外</w:t>
                  </w:r>
                  <w:r>
                    <w:rPr>
                      <w:rFonts w:hint="default" w:ascii="Times New Roman" w:hAnsi="Times New Roman" w:eastAsia="宋体" w:cs="Times New Roman"/>
                      <w:lang w:eastAsia="zh-CN"/>
                    </w:rPr>
                    <w:t>）</w:t>
                  </w:r>
                  <w:r>
                    <w:rPr>
                      <w:rFonts w:hint="default" w:ascii="Times New Roman" w:hAnsi="Times New Roman" w:eastAsia="宋体" w:cs="Times New Roman"/>
                    </w:rPr>
                    <w:t>或大气污染物无组织排放量增加10%及以上的。</w:t>
                  </w:r>
                </w:p>
              </w:tc>
              <w:tc>
                <w:tcPr>
                  <w:tcW w:w="2706" w:type="dxa"/>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eastAsia="宋体" w:cs="Times New Roman"/>
                      <w:b w:val="0"/>
                      <w:bCs/>
                      <w:color w:val="000000"/>
                      <w:sz w:val="21"/>
                      <w:szCs w:val="21"/>
                      <w:highlight w:val="none"/>
                    </w:rPr>
                    <w:t>本项目</w:t>
                  </w:r>
                  <w:r>
                    <w:rPr>
                      <w:rFonts w:hint="default" w:ascii="Times New Roman" w:hAnsi="Times New Roman" w:eastAsia="宋体" w:cs="Times New Roman"/>
                      <w:b w:val="0"/>
                      <w:bCs/>
                      <w:color w:val="000000"/>
                      <w:sz w:val="21"/>
                      <w:szCs w:val="21"/>
                      <w:highlight w:val="none"/>
                      <w:lang w:val="en-US" w:eastAsia="zh-CN"/>
                    </w:rPr>
                    <w:t>废气、</w:t>
                  </w:r>
                  <w:r>
                    <w:rPr>
                      <w:rFonts w:hint="default" w:ascii="Times New Roman" w:hAnsi="Times New Roman" w:eastAsia="宋体" w:cs="Times New Roman"/>
                      <w:b w:val="0"/>
                      <w:bCs/>
                      <w:color w:val="000000"/>
                      <w:sz w:val="21"/>
                      <w:szCs w:val="21"/>
                      <w:highlight w:val="none"/>
                    </w:rPr>
                    <w:t>废水污染防治措施未发生变化</w:t>
                  </w:r>
                  <w:r>
                    <w:rPr>
                      <w:rFonts w:hint="default" w:ascii="Times New Roman" w:hAnsi="Times New Roman" w:eastAsia="宋体" w:cs="Times New Roman"/>
                      <w:b w:val="0"/>
                      <w:bCs/>
                      <w:lang w:eastAsia="zh-CN"/>
                    </w:rPr>
                    <w:t>。</w:t>
                  </w:r>
                </w:p>
              </w:tc>
              <w:tc>
                <w:tcPr>
                  <w:tcW w:w="1174"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continue"/>
                  <w:vAlign w:val="center"/>
                </w:tcPr>
                <w:p>
                  <w:pPr>
                    <w:ind w:right="2" w:rightChars="0"/>
                    <w:jc w:val="center"/>
                    <w:rPr>
                      <w:rFonts w:hint="default" w:ascii="Times New Roman" w:hAnsi="Times New Roman" w:eastAsia="宋体" w:cs="Times New Roman"/>
                      <w:color w:val="000000"/>
                      <w:sz w:val="21"/>
                      <w:szCs w:val="21"/>
                    </w:rPr>
                  </w:pPr>
                </w:p>
              </w:tc>
              <w:tc>
                <w:tcPr>
                  <w:tcW w:w="342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rPr>
                    <w:t>新增废水直接排放口，废水由间接排放改为直接排放;废水直接排放口位置变化，导致不利环境影响加重的</w:t>
                  </w:r>
                  <w:r>
                    <w:rPr>
                      <w:rFonts w:hint="default" w:ascii="Times New Roman" w:hAnsi="Times New Roman" w:eastAsia="宋体" w:cs="Times New Roman"/>
                      <w:lang w:eastAsia="zh-CN"/>
                    </w:rPr>
                    <w:t>。</w:t>
                  </w:r>
                </w:p>
              </w:tc>
              <w:tc>
                <w:tcPr>
                  <w:tcW w:w="2706" w:type="dxa"/>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color w:val="000000"/>
                      <w:sz w:val="21"/>
                      <w:szCs w:val="21"/>
                      <w:lang w:val="en-US" w:eastAsia="zh-CN"/>
                    </w:rPr>
                    <w:t>本项目废水处理后接入市政管网。</w:t>
                  </w:r>
                  <w:r>
                    <w:rPr>
                      <w:rFonts w:hint="default" w:ascii="Times New Roman" w:hAnsi="Times New Roman" w:eastAsia="宋体" w:cs="Times New Roman"/>
                      <w:b w:val="0"/>
                      <w:bCs/>
                      <w:color w:val="000000"/>
                      <w:sz w:val="21"/>
                      <w:szCs w:val="21"/>
                    </w:rPr>
                    <w:t>本项目未新增废水直接排放口；废水未由间接排放改为直接排放</w:t>
                  </w:r>
                  <w:r>
                    <w:rPr>
                      <w:rFonts w:hint="default" w:ascii="Times New Roman" w:hAnsi="Times New Roman" w:cs="Times New Roman"/>
                      <w:b w:val="0"/>
                      <w:bCs/>
                      <w:color w:val="000000"/>
                      <w:sz w:val="21"/>
                      <w:szCs w:val="21"/>
                      <w:lang w:eastAsia="zh-CN"/>
                    </w:rPr>
                    <w:t>。</w:t>
                  </w:r>
                </w:p>
              </w:tc>
              <w:tc>
                <w:tcPr>
                  <w:tcW w:w="1174"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continue"/>
                  <w:vAlign w:val="center"/>
                </w:tcPr>
                <w:p>
                  <w:pPr>
                    <w:ind w:right="2" w:rightChars="0"/>
                    <w:jc w:val="center"/>
                    <w:rPr>
                      <w:rFonts w:hint="default" w:ascii="Times New Roman" w:hAnsi="Times New Roman" w:eastAsia="宋体" w:cs="Times New Roman"/>
                      <w:color w:val="000000"/>
                      <w:sz w:val="21"/>
                      <w:szCs w:val="21"/>
                    </w:rPr>
                  </w:pPr>
                </w:p>
              </w:tc>
              <w:tc>
                <w:tcPr>
                  <w:tcW w:w="342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rPr>
                    <w:t>新增废气主要排放口</w:t>
                  </w:r>
                  <w:r>
                    <w:rPr>
                      <w:rFonts w:hint="default" w:ascii="Times New Roman" w:hAnsi="Times New Roman" w:eastAsia="宋体" w:cs="Times New Roman"/>
                      <w:lang w:eastAsia="zh-CN"/>
                    </w:rPr>
                    <w:t>（</w:t>
                  </w:r>
                  <w:r>
                    <w:rPr>
                      <w:rFonts w:hint="default" w:ascii="Times New Roman" w:hAnsi="Times New Roman" w:eastAsia="宋体" w:cs="Times New Roman"/>
                    </w:rPr>
                    <w:t>废气无组织排放改为有组织排放的除外</w:t>
                  </w:r>
                  <w:r>
                    <w:rPr>
                      <w:rFonts w:hint="default" w:ascii="Times New Roman" w:hAnsi="Times New Roman" w:eastAsia="宋体" w:cs="Times New Roman"/>
                      <w:lang w:eastAsia="zh-CN"/>
                    </w:rPr>
                    <w:t>）；</w:t>
                  </w:r>
                  <w:r>
                    <w:rPr>
                      <w:rFonts w:hint="default" w:ascii="Times New Roman" w:hAnsi="Times New Roman" w:eastAsia="宋体" w:cs="Times New Roman"/>
                    </w:rPr>
                    <w:t>主要排放口排气筒高度降低10%及以上的。</w:t>
                  </w:r>
                </w:p>
              </w:tc>
              <w:tc>
                <w:tcPr>
                  <w:tcW w:w="2706" w:type="dxa"/>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本项目</w:t>
                  </w:r>
                  <w:r>
                    <w:rPr>
                      <w:rFonts w:hint="eastAsia" w:ascii="Times New Roman" w:hAnsi="Times New Roman" w:cs="Times New Roman"/>
                      <w:b w:val="0"/>
                      <w:bCs w:val="0"/>
                      <w:sz w:val="21"/>
                      <w:szCs w:val="21"/>
                      <w:vertAlign w:val="baseline"/>
                      <w:lang w:val="en-US" w:eastAsia="zh-CN"/>
                    </w:rPr>
                    <w:t>设有一根15m高排气筒。</w:t>
                  </w:r>
                  <w:r>
                    <w:rPr>
                      <w:rFonts w:hint="default" w:ascii="Times New Roman" w:hAnsi="Times New Roman" w:cs="Times New Roman"/>
                      <w:b w:val="0"/>
                      <w:bCs w:val="0"/>
                      <w:sz w:val="21"/>
                      <w:szCs w:val="21"/>
                      <w:vertAlign w:val="baseline"/>
                      <w:lang w:val="en-US" w:eastAsia="zh-CN"/>
                    </w:rPr>
                    <w:t>本项目未新增废气排口，排放口高度未降低。</w:t>
                  </w:r>
                </w:p>
              </w:tc>
              <w:tc>
                <w:tcPr>
                  <w:tcW w:w="1174"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continue"/>
                  <w:vAlign w:val="center"/>
                </w:tcPr>
                <w:p>
                  <w:pPr>
                    <w:ind w:right="2" w:rightChars="0"/>
                    <w:jc w:val="center"/>
                    <w:rPr>
                      <w:rFonts w:hint="default" w:ascii="Times New Roman" w:hAnsi="Times New Roman" w:eastAsia="宋体" w:cs="Times New Roman"/>
                      <w:color w:val="000000"/>
                      <w:sz w:val="21"/>
                      <w:szCs w:val="21"/>
                    </w:rPr>
                  </w:pPr>
                </w:p>
              </w:tc>
              <w:tc>
                <w:tcPr>
                  <w:tcW w:w="342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rPr>
                    <w:t>噪声、土壤或地下水污染防治措施变化，导致不利环境影响加重的。</w:t>
                  </w:r>
                </w:p>
              </w:tc>
              <w:tc>
                <w:tcPr>
                  <w:tcW w:w="2706" w:type="dxa"/>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本项目噪声、土壤和地下水污染防治措施未发生变化。</w:t>
                  </w:r>
                </w:p>
              </w:tc>
              <w:tc>
                <w:tcPr>
                  <w:tcW w:w="1174"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continue"/>
                  <w:vAlign w:val="center"/>
                </w:tcPr>
                <w:p>
                  <w:pPr>
                    <w:ind w:right="2" w:rightChars="0"/>
                    <w:jc w:val="center"/>
                    <w:rPr>
                      <w:rFonts w:hint="default" w:ascii="Times New Roman" w:hAnsi="Times New Roman" w:eastAsia="宋体" w:cs="Times New Roman"/>
                      <w:color w:val="000000"/>
                      <w:sz w:val="21"/>
                      <w:szCs w:val="21"/>
                    </w:rPr>
                  </w:pPr>
                </w:p>
              </w:tc>
              <w:tc>
                <w:tcPr>
                  <w:tcW w:w="342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rPr>
                    <w:t>固体废物利用处置方式由委托外单位利用处置改为自行利用处置的</w:t>
                  </w:r>
                  <w:r>
                    <w:rPr>
                      <w:rFonts w:hint="default" w:ascii="Times New Roman" w:hAnsi="Times New Roman" w:eastAsia="宋体" w:cs="Times New Roman"/>
                      <w:lang w:eastAsia="zh-CN"/>
                    </w:rPr>
                    <w:t>（</w:t>
                  </w:r>
                  <w:r>
                    <w:rPr>
                      <w:rFonts w:hint="default" w:ascii="Times New Roman" w:hAnsi="Times New Roman" w:eastAsia="宋体" w:cs="Times New Roman"/>
                    </w:rPr>
                    <w:t>自行利用处置设施单独开展环境影响评价的除外</w:t>
                  </w:r>
                  <w:r>
                    <w:rPr>
                      <w:rFonts w:hint="default" w:ascii="Times New Roman" w:hAnsi="Times New Roman" w:eastAsia="宋体" w:cs="Times New Roman"/>
                      <w:lang w:eastAsia="zh-CN"/>
                    </w:rPr>
                    <w:t>）；</w:t>
                  </w:r>
                  <w:r>
                    <w:rPr>
                      <w:rFonts w:hint="default" w:ascii="Times New Roman" w:hAnsi="Times New Roman" w:eastAsia="宋体" w:cs="Times New Roman"/>
                    </w:rPr>
                    <w:t>固体废物自行处置方式变化，导致不利环境影响加重的。</w:t>
                  </w:r>
                </w:p>
              </w:tc>
              <w:tc>
                <w:tcPr>
                  <w:tcW w:w="2706" w:type="dxa"/>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eastAsia="宋体" w:cs="Times New Roman"/>
                      <w:b w:val="0"/>
                      <w:bCs/>
                      <w:color w:val="000000"/>
                      <w:sz w:val="21"/>
                      <w:szCs w:val="21"/>
                    </w:rPr>
                    <w:t>本项目固体废物处置方式未发生变化</w:t>
                  </w:r>
                  <w:r>
                    <w:rPr>
                      <w:rFonts w:hint="default" w:ascii="Times New Roman" w:hAnsi="Times New Roman" w:cs="Times New Roman"/>
                      <w:b w:val="0"/>
                      <w:bCs/>
                      <w:color w:val="000000"/>
                      <w:sz w:val="21"/>
                      <w:szCs w:val="21"/>
                      <w:lang w:eastAsia="zh-CN"/>
                    </w:rPr>
                    <w:t>。</w:t>
                  </w:r>
                </w:p>
              </w:tc>
              <w:tc>
                <w:tcPr>
                  <w:tcW w:w="1174"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Merge w:val="continue"/>
                  <w:vAlign w:val="center"/>
                </w:tcPr>
                <w:p>
                  <w:pPr>
                    <w:ind w:right="2" w:rightChars="0"/>
                    <w:jc w:val="center"/>
                    <w:rPr>
                      <w:rFonts w:hint="default" w:ascii="Times New Roman" w:hAnsi="Times New Roman" w:eastAsia="宋体" w:cs="Times New Roman"/>
                      <w:color w:val="000000"/>
                      <w:sz w:val="21"/>
                      <w:szCs w:val="21"/>
                    </w:rPr>
                  </w:pPr>
                </w:p>
              </w:tc>
              <w:tc>
                <w:tcPr>
                  <w:tcW w:w="342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rPr>
                    <w:t>事故废水暂存能力或拦截设施变化，导致环境风险防范能力弱化或降低的。</w:t>
                  </w:r>
                </w:p>
              </w:tc>
              <w:tc>
                <w:tcPr>
                  <w:tcW w:w="2706" w:type="dxa"/>
                  <w:vAlign w:val="center"/>
                </w:tcPr>
                <w:p>
                  <w:pPr>
                    <w:pStyle w:val="2"/>
                    <w:spacing w:line="240" w:lineRule="auto"/>
                    <w:jc w:val="center"/>
                    <w:rPr>
                      <w:rFonts w:hint="default" w:ascii="Times New Roman" w:hAnsi="Times New Roman" w:cs="Times New Roman"/>
                      <w:b w:val="0"/>
                      <w:bCs w:val="0"/>
                      <w:sz w:val="21"/>
                      <w:szCs w:val="21"/>
                      <w:vertAlign w:val="baseline"/>
                      <w:lang w:val="en-US" w:eastAsia="zh-CN"/>
                    </w:rPr>
                  </w:pPr>
                  <w:r>
                    <w:rPr>
                      <w:rFonts w:hint="default" w:ascii="Times New Roman" w:hAnsi="Times New Roman" w:eastAsia="宋体" w:cs="Times New Roman"/>
                      <w:b w:val="0"/>
                      <w:bCs/>
                      <w:color w:val="000000"/>
                      <w:sz w:val="21"/>
                      <w:szCs w:val="21"/>
                    </w:rPr>
                    <w:t>本项目事故废水暂存能力或拦截设施未发生变化</w:t>
                  </w:r>
                  <w:r>
                    <w:rPr>
                      <w:rFonts w:hint="default" w:ascii="Times New Roman" w:hAnsi="Times New Roman" w:cs="Times New Roman"/>
                      <w:b w:val="0"/>
                      <w:bCs/>
                      <w:color w:val="000000"/>
                      <w:sz w:val="21"/>
                      <w:szCs w:val="21"/>
                      <w:lang w:eastAsia="zh-CN"/>
                    </w:rPr>
                    <w:t>。</w:t>
                  </w:r>
                </w:p>
              </w:tc>
              <w:tc>
                <w:tcPr>
                  <w:tcW w:w="1174" w:type="dxa"/>
                  <w:vAlign w:val="center"/>
                </w:tcPr>
                <w:p>
                  <w:pPr>
                    <w:jc w:val="center"/>
                    <w:rPr>
                      <w:rFonts w:hint="default" w:ascii="Times New Roman" w:hAnsi="Times New Roman" w:cs="Times New Roman"/>
                      <w:sz w:val="21"/>
                      <w:szCs w:val="21"/>
                      <w:vertAlign w:val="baseline"/>
                      <w:lang w:val="en-US" w:eastAsia="zh-CN"/>
                    </w:rPr>
                  </w:pPr>
                  <w:r>
                    <w:rPr>
                      <w:rFonts w:hint="default" w:ascii="Times New Roman" w:hAnsi="Times New Roman" w:cs="Times New Roman"/>
                      <w:b w:val="0"/>
                      <w:bCs/>
                      <w:sz w:val="21"/>
                      <w:szCs w:val="21"/>
                      <w:vertAlign w:val="baseline"/>
                      <w:lang w:val="en-US" w:eastAsia="zh-CN"/>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00" w:type="dxa"/>
                  <w:vAlign w:val="center"/>
                </w:tcPr>
                <w:p>
                  <w:pPr>
                    <w:ind w:right="2" w:rightChars="0"/>
                    <w:jc w:val="center"/>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结论</w:t>
                  </w:r>
                </w:p>
              </w:tc>
              <w:tc>
                <w:tcPr>
                  <w:tcW w:w="7306" w:type="dxa"/>
                  <w:gridSpan w:val="3"/>
                  <w:vAlign w:val="center"/>
                </w:tcPr>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b w:val="0"/>
                      <w:bCs/>
                      <w:sz w:val="21"/>
                      <w:szCs w:val="21"/>
                      <w:vertAlign w:val="baseline"/>
                      <w:lang w:val="en-US" w:eastAsia="zh-CN"/>
                    </w:rPr>
                  </w:pPr>
                  <w:r>
                    <w:rPr>
                      <w:rFonts w:hint="default" w:ascii="Times New Roman" w:hAnsi="Times New Roman" w:eastAsia="宋体" w:cs="Times New Roman"/>
                    </w:rPr>
                    <w:t>本项目符合国家及地方产业政策，地址选择符合用地规划要求；项目生产过程中产生的污染在采取有效的治理措施之后，对周围环境影响</w:t>
                  </w:r>
                  <w:r>
                    <w:rPr>
                      <w:rFonts w:hint="eastAsia" w:ascii="Times New Roman" w:hAnsi="Times New Roman" w:eastAsia="宋体" w:cs="Times New Roman"/>
                    </w:rPr>
                    <w:t>可接受</w:t>
                  </w:r>
                  <w:r>
                    <w:rPr>
                      <w:rFonts w:hint="default" w:ascii="Times New Roman" w:hAnsi="Times New Roman" w:eastAsia="宋体" w:cs="Times New Roman"/>
                    </w:rPr>
                    <w:t>，不会改变当地环境质量现状，事故风险水平可被接受。因此，从环保的角度出发，该项目在坚持“三同时”原则并按照本报告中提出的各项环保措施治理后是可行的。</w:t>
                  </w:r>
                </w:p>
              </w:tc>
            </w:tr>
          </w:tbl>
          <w:p>
            <w:pPr>
              <w:pStyle w:val="2"/>
              <w:jc w:val="both"/>
              <w:rPr>
                <w:rFonts w:hint="default" w:ascii="Times New Roman" w:hAnsi="Times New Roman" w:cs="Times New Roman"/>
                <w:lang w:val="en-US" w:eastAsia="zh-CN"/>
              </w:rPr>
            </w:pPr>
          </w:p>
        </w:tc>
      </w:tr>
    </w:tbl>
    <w:p>
      <w:pPr>
        <w:rPr>
          <w:rFonts w:hint="eastAsia"/>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4"/>
        <w:bidi w:val="0"/>
        <w:rPr>
          <w:rFonts w:hint="eastAsia" w:ascii="宋体" w:hAnsi="宋体" w:eastAsia="宋体" w:cs="宋体"/>
          <w:sz w:val="32"/>
          <w:szCs w:val="20"/>
          <w:lang w:val="en-US" w:eastAsia="zh-CN"/>
        </w:rPr>
      </w:pPr>
      <w:bookmarkStart w:id="93" w:name="_Toc30315"/>
      <w:r>
        <w:rPr>
          <w:rFonts w:hint="eastAsia" w:ascii="宋体" w:hAnsi="宋体" w:eastAsia="宋体" w:cs="宋体"/>
          <w:sz w:val="32"/>
          <w:szCs w:val="20"/>
          <w:lang w:val="en-US" w:eastAsia="zh-CN"/>
        </w:rPr>
        <w:t>表三</w:t>
      </w:r>
      <w:bookmarkEnd w:id="93"/>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主要污染源、污染物处理和排放（</w:t>
            </w:r>
            <w:r>
              <w:rPr>
                <w:rFonts w:hint="eastAsia" w:ascii="Times New Roman" w:hAnsi="Times New Roman" w:eastAsia="宋体" w:cs="Times New Roman"/>
                <w:sz w:val="24"/>
                <w:szCs w:val="24"/>
                <w:lang w:val="en-US" w:eastAsia="zh-CN"/>
              </w:rPr>
              <w:t>附处理流程示意图，标出废水、废气、厂界噪声监测点位</w:t>
            </w:r>
            <w:r>
              <w:rPr>
                <w:rFonts w:hint="default" w:ascii="Times New Roman" w:hAnsi="Times New Roman" w:eastAsia="宋体" w:cs="Times New Roman"/>
                <w:sz w:val="24"/>
                <w:szCs w:val="24"/>
              </w:rPr>
              <w:t>）：</w:t>
            </w:r>
          </w:p>
          <w:p>
            <w:pPr>
              <w:pStyle w:val="2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firstLine="480" w:firstLineChars="20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1、废水</w:t>
            </w:r>
          </w:p>
          <w:p>
            <w:pPr>
              <w:numPr>
                <w:ilvl w:val="0"/>
                <w:numId w:val="0"/>
              </w:num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建设项目废水主要为生活污水、纯水制备浓水以及二道、三道清洗废水，厂区实行雨污分流，雨水收集后排入区域雨水管网。</w:t>
            </w:r>
            <w:r>
              <w:rPr>
                <w:rFonts w:hint="default" w:ascii="Times New Roman" w:hAnsi="Times New Roman" w:eastAsia="宋体" w:cs="Times New Roman"/>
                <w:sz w:val="24"/>
                <w:szCs w:val="24"/>
                <w:lang w:val="en-US" w:eastAsia="zh-CN"/>
              </w:rPr>
              <w:t>本项目劳动定员30人，职工用水按50L/d记，年工作250天，则职工生活用水量为375t/a，产污系数以0.8</w:t>
            </w:r>
            <w:r>
              <w:rPr>
                <w:rFonts w:hint="eastAsia" w:ascii="Times New Roman" w:hAnsi="Times New Roman" w:eastAsia="宋体" w:cs="Times New Roman"/>
                <w:sz w:val="24"/>
                <w:szCs w:val="24"/>
                <w:lang w:val="en-US" w:eastAsia="zh-CN"/>
              </w:rPr>
              <w:t>计</w:t>
            </w:r>
            <w:r>
              <w:rPr>
                <w:rFonts w:hint="default" w:ascii="Times New Roman" w:hAnsi="Times New Roman" w:eastAsia="宋体" w:cs="Times New Roman"/>
                <w:sz w:val="24"/>
                <w:szCs w:val="24"/>
                <w:lang w:val="en-US" w:eastAsia="zh-CN"/>
              </w:rPr>
              <w:t>，污水产生量为300t/a；纯水制备浓水按1.2t/a</w:t>
            </w:r>
            <w:r>
              <w:rPr>
                <w:rFonts w:hint="eastAsia" w:ascii="Times New Roman" w:hAnsi="Times New Roman" w:eastAsia="宋体" w:cs="Times New Roman"/>
                <w:sz w:val="24"/>
                <w:szCs w:val="24"/>
                <w:lang w:val="en-US" w:eastAsia="zh-CN"/>
              </w:rPr>
              <w:t>计</w:t>
            </w:r>
            <w:r>
              <w:rPr>
                <w:rFonts w:hint="default" w:ascii="Times New Roman" w:hAnsi="Times New Roman" w:eastAsia="宋体" w:cs="Times New Roman"/>
                <w:sz w:val="24"/>
                <w:szCs w:val="24"/>
                <w:lang w:val="en-US" w:eastAsia="zh-CN"/>
              </w:rPr>
              <w:t>；二道、三道清洗废水按54.15t/a</w:t>
            </w:r>
            <w:r>
              <w:rPr>
                <w:rFonts w:hint="eastAsia" w:ascii="Times New Roman" w:hAnsi="Times New Roman" w:eastAsia="宋体" w:cs="Times New Roman"/>
                <w:sz w:val="24"/>
                <w:szCs w:val="24"/>
                <w:lang w:val="en-US" w:eastAsia="zh-CN"/>
              </w:rPr>
              <w:t>计</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生活污水、纯水制备废水以及经自建污水处理站预处理的二道、三道清洗废水一同达接管要求后接管南通市东港排水有限公司集中处理。</w:t>
            </w:r>
            <w:r>
              <w:rPr>
                <w:rFonts w:hint="default" w:ascii="Times New Roman" w:hAnsi="Times New Roman" w:eastAsia="宋体" w:cs="Times New Roman"/>
                <w:sz w:val="24"/>
                <w:szCs w:val="24"/>
                <w:lang w:val="en-US" w:eastAsia="zh-CN"/>
              </w:rPr>
              <w:t>废水来源及处理方法见表3-1。</w:t>
            </w:r>
          </w:p>
          <w:p>
            <w:pPr>
              <w:pStyle w:val="2"/>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表3-1  废水来源及处理方式</w:t>
            </w:r>
          </w:p>
          <w:tbl>
            <w:tblPr>
              <w:tblStyle w:val="21"/>
              <w:tblW w:w="8301" w:type="dxa"/>
              <w:tblInd w:w="5"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1484"/>
              <w:gridCol w:w="1484"/>
              <w:gridCol w:w="1484"/>
              <w:gridCol w:w="1484"/>
              <w:gridCol w:w="148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1" w:type="dxa"/>
                  <w:tcBorders>
                    <w:tl2br w:val="nil"/>
                    <w:tr2bl w:val="nil"/>
                  </w:tcBorders>
                  <w:vAlign w:val="center"/>
                </w:tcPr>
                <w:p>
                  <w:pPr>
                    <w:pStyle w:val="2"/>
                    <w:jc w:val="center"/>
                    <w:rPr>
                      <w:rFonts w:hint="default" w:ascii="Times New Roman" w:hAnsi="Times New Roman" w:cs="Times New Roman"/>
                      <w:b/>
                      <w:bCs w:val="0"/>
                      <w:sz w:val="21"/>
                      <w:szCs w:val="21"/>
                      <w:vertAlign w:val="baseline"/>
                      <w:lang w:val="en-US" w:eastAsia="zh-CN"/>
                    </w:rPr>
                  </w:pPr>
                  <w:r>
                    <w:rPr>
                      <w:rFonts w:hint="default" w:ascii="Times New Roman" w:hAnsi="Times New Roman" w:cs="Times New Roman"/>
                      <w:b/>
                      <w:bCs w:val="0"/>
                      <w:sz w:val="21"/>
                      <w:szCs w:val="21"/>
                      <w:vertAlign w:val="baseline"/>
                      <w:lang w:val="en-US" w:eastAsia="zh-CN"/>
                    </w:rPr>
                    <w:t>污染类别</w:t>
                  </w:r>
                </w:p>
              </w:tc>
              <w:tc>
                <w:tcPr>
                  <w:tcW w:w="1484" w:type="dxa"/>
                  <w:tcBorders>
                    <w:tl2br w:val="nil"/>
                    <w:tr2bl w:val="nil"/>
                  </w:tcBorders>
                  <w:vAlign w:val="center"/>
                </w:tcPr>
                <w:p>
                  <w:pPr>
                    <w:pStyle w:val="2"/>
                    <w:jc w:val="center"/>
                    <w:rPr>
                      <w:rFonts w:hint="default" w:ascii="Times New Roman" w:hAnsi="Times New Roman" w:eastAsia="宋体" w:cs="Times New Roman"/>
                      <w:b/>
                      <w:bCs w:val="0"/>
                      <w:color w:val="000000"/>
                      <w:sz w:val="21"/>
                      <w:szCs w:val="21"/>
                      <w:vertAlign w:val="baseline"/>
                      <w:lang w:val="en-US" w:eastAsia="zh-CN" w:bidi="ar-SA"/>
                    </w:rPr>
                  </w:pPr>
                  <w:r>
                    <w:rPr>
                      <w:rFonts w:hint="default" w:ascii="Times New Roman" w:hAnsi="Times New Roman" w:cs="Times New Roman"/>
                      <w:b/>
                      <w:bCs w:val="0"/>
                      <w:sz w:val="21"/>
                      <w:szCs w:val="21"/>
                      <w:vertAlign w:val="baseline"/>
                      <w:lang w:val="en-US" w:eastAsia="zh-CN"/>
                    </w:rPr>
                    <w:t>污染源名称</w:t>
                  </w:r>
                </w:p>
              </w:tc>
              <w:tc>
                <w:tcPr>
                  <w:tcW w:w="1484" w:type="dxa"/>
                  <w:tcBorders>
                    <w:tl2br w:val="nil"/>
                    <w:tr2bl w:val="nil"/>
                  </w:tcBorders>
                  <w:vAlign w:val="center"/>
                </w:tcPr>
                <w:p>
                  <w:pPr>
                    <w:pStyle w:val="2"/>
                    <w:jc w:val="center"/>
                    <w:rPr>
                      <w:rFonts w:hint="default" w:ascii="Times New Roman" w:hAnsi="Times New Roman" w:cs="Times New Roman"/>
                      <w:b/>
                      <w:bCs w:val="0"/>
                      <w:sz w:val="21"/>
                      <w:szCs w:val="21"/>
                      <w:vertAlign w:val="baseline"/>
                      <w:lang w:val="en-US" w:eastAsia="zh-CN"/>
                    </w:rPr>
                  </w:pPr>
                  <w:r>
                    <w:rPr>
                      <w:rFonts w:hint="default" w:ascii="Times New Roman" w:hAnsi="Times New Roman" w:cs="Times New Roman"/>
                      <w:b/>
                      <w:bCs w:val="0"/>
                      <w:sz w:val="21"/>
                      <w:szCs w:val="21"/>
                      <w:vertAlign w:val="baseline"/>
                      <w:lang w:val="en-US" w:eastAsia="zh-CN"/>
                    </w:rPr>
                    <w:t>产生工序</w:t>
                  </w:r>
                </w:p>
              </w:tc>
              <w:tc>
                <w:tcPr>
                  <w:tcW w:w="1484" w:type="dxa"/>
                  <w:tcBorders>
                    <w:tl2br w:val="nil"/>
                    <w:tr2bl w:val="nil"/>
                  </w:tcBorders>
                  <w:vAlign w:val="center"/>
                </w:tcPr>
                <w:p>
                  <w:pPr>
                    <w:pStyle w:val="2"/>
                    <w:jc w:val="center"/>
                    <w:rPr>
                      <w:rFonts w:hint="default" w:ascii="Times New Roman" w:hAnsi="Times New Roman" w:cs="Times New Roman"/>
                      <w:b/>
                      <w:bCs w:val="0"/>
                      <w:sz w:val="21"/>
                      <w:szCs w:val="21"/>
                      <w:vertAlign w:val="baseline"/>
                      <w:lang w:val="en-US" w:eastAsia="zh-CN"/>
                    </w:rPr>
                  </w:pPr>
                  <w:r>
                    <w:rPr>
                      <w:rFonts w:hint="default" w:ascii="Times New Roman" w:hAnsi="Times New Roman" w:cs="Times New Roman"/>
                      <w:b/>
                      <w:bCs w:val="0"/>
                      <w:sz w:val="21"/>
                      <w:szCs w:val="21"/>
                      <w:vertAlign w:val="baseline"/>
                      <w:lang w:val="en-US" w:eastAsia="zh-CN"/>
                    </w:rPr>
                    <w:t>主要污染因子</w:t>
                  </w:r>
                </w:p>
              </w:tc>
              <w:tc>
                <w:tcPr>
                  <w:tcW w:w="1484" w:type="dxa"/>
                  <w:tcBorders>
                    <w:tl2br w:val="nil"/>
                    <w:tr2bl w:val="nil"/>
                  </w:tcBorders>
                  <w:vAlign w:val="center"/>
                </w:tcPr>
                <w:p>
                  <w:pPr>
                    <w:pStyle w:val="2"/>
                    <w:jc w:val="center"/>
                    <w:rPr>
                      <w:rFonts w:hint="default" w:ascii="Times New Roman" w:hAnsi="Times New Roman" w:cs="Times New Roman"/>
                      <w:b/>
                      <w:bCs w:val="0"/>
                      <w:sz w:val="21"/>
                      <w:szCs w:val="21"/>
                      <w:vertAlign w:val="baseline"/>
                      <w:lang w:val="en-US" w:eastAsia="zh-CN"/>
                    </w:rPr>
                  </w:pPr>
                  <w:r>
                    <w:rPr>
                      <w:rFonts w:hint="default" w:ascii="Times New Roman" w:hAnsi="Times New Roman" w:cs="Times New Roman"/>
                      <w:b/>
                      <w:bCs w:val="0"/>
                      <w:sz w:val="21"/>
                      <w:szCs w:val="21"/>
                      <w:vertAlign w:val="baseline"/>
                      <w:lang w:val="en-US" w:eastAsia="zh-CN"/>
                    </w:rPr>
                    <w:t>环评设计处理措施</w:t>
                  </w:r>
                </w:p>
              </w:tc>
              <w:tc>
                <w:tcPr>
                  <w:tcW w:w="1484" w:type="dxa"/>
                  <w:tcBorders>
                    <w:tl2br w:val="nil"/>
                    <w:tr2bl w:val="nil"/>
                  </w:tcBorders>
                  <w:vAlign w:val="center"/>
                </w:tcPr>
                <w:p>
                  <w:pPr>
                    <w:pStyle w:val="2"/>
                    <w:jc w:val="center"/>
                    <w:rPr>
                      <w:rFonts w:hint="default" w:ascii="Times New Roman" w:hAnsi="Times New Roman" w:cs="Times New Roman"/>
                      <w:b/>
                      <w:bCs w:val="0"/>
                      <w:sz w:val="21"/>
                      <w:szCs w:val="21"/>
                      <w:vertAlign w:val="baseline"/>
                      <w:lang w:val="en-US" w:eastAsia="zh-CN"/>
                    </w:rPr>
                  </w:pPr>
                  <w:r>
                    <w:rPr>
                      <w:rFonts w:hint="default" w:ascii="Times New Roman" w:hAnsi="Times New Roman" w:cs="Times New Roman"/>
                      <w:b/>
                      <w:bCs w:val="0"/>
                      <w:sz w:val="21"/>
                      <w:szCs w:val="21"/>
                      <w:vertAlign w:val="baseline"/>
                      <w:lang w:val="en-US" w:eastAsia="zh-CN"/>
                    </w:rPr>
                    <w:t>实际处理措施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1" w:type="dxa"/>
                  <w:vMerge w:val="restart"/>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废水</w:t>
                  </w:r>
                </w:p>
              </w:tc>
              <w:tc>
                <w:tcPr>
                  <w:tcW w:w="1484" w:type="dxa"/>
                  <w:tcBorders>
                    <w:tl2br w:val="nil"/>
                    <w:tr2bl w:val="nil"/>
                  </w:tcBorders>
                  <w:vAlign w:val="center"/>
                </w:tcPr>
                <w:p>
                  <w:pPr>
                    <w:pStyle w:val="2"/>
                    <w:jc w:val="center"/>
                    <w:rPr>
                      <w:rFonts w:hint="default" w:ascii="Times New Roman" w:hAnsi="Times New Roman" w:eastAsia="宋体" w:cs="Times New Roman"/>
                      <w:b w:val="0"/>
                      <w:bCs/>
                      <w:color w:val="000000"/>
                      <w:sz w:val="21"/>
                      <w:szCs w:val="21"/>
                      <w:vertAlign w:val="baseline"/>
                      <w:lang w:val="en-US" w:eastAsia="zh-CN" w:bidi="ar-SA"/>
                    </w:rPr>
                  </w:pPr>
                  <w:r>
                    <w:rPr>
                      <w:rFonts w:hint="default" w:ascii="Times New Roman" w:hAnsi="Times New Roman" w:cs="Times New Roman"/>
                      <w:b w:val="0"/>
                      <w:bCs/>
                      <w:sz w:val="21"/>
                      <w:szCs w:val="21"/>
                      <w:vertAlign w:val="baseline"/>
                      <w:lang w:val="en-US" w:eastAsia="zh-CN"/>
                    </w:rPr>
                    <w:t>生活污水</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职工生活</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COD、SS、氨氮、总氮、总磷</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经化粪池处理后排入南通市东港排水有限公司</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按照环评要求建设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1" w:type="dxa"/>
                  <w:vMerge w:val="continue"/>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p>
              </w:tc>
              <w:tc>
                <w:tcPr>
                  <w:tcW w:w="1484" w:type="dxa"/>
                  <w:tcBorders>
                    <w:tl2br w:val="nil"/>
                    <w:tr2bl w:val="nil"/>
                  </w:tcBorders>
                  <w:vAlign w:val="center"/>
                </w:tcPr>
                <w:p>
                  <w:pPr>
                    <w:pStyle w:val="2"/>
                    <w:jc w:val="center"/>
                    <w:rPr>
                      <w:rFonts w:hint="default" w:ascii="Times New Roman" w:hAnsi="Times New Roman" w:eastAsia="宋体" w:cs="Times New Roman"/>
                      <w:b w:val="0"/>
                      <w:bCs/>
                      <w:color w:val="000000"/>
                      <w:sz w:val="21"/>
                      <w:szCs w:val="21"/>
                      <w:vertAlign w:val="baseline"/>
                      <w:lang w:val="en-US" w:eastAsia="zh-CN" w:bidi="ar-SA"/>
                    </w:rPr>
                  </w:pPr>
                  <w:r>
                    <w:rPr>
                      <w:rFonts w:hint="default" w:ascii="Times New Roman" w:hAnsi="Times New Roman" w:cs="Times New Roman"/>
                      <w:b w:val="0"/>
                      <w:bCs/>
                      <w:sz w:val="21"/>
                      <w:szCs w:val="21"/>
                      <w:vertAlign w:val="baseline"/>
                      <w:lang w:val="en-US" w:eastAsia="zh-CN"/>
                    </w:rPr>
                    <w:t>纯水制备浓水</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纯水制备机用水</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COD、SS</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经化污水处理站处理后排入南通市东港排水有限公司</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按照环评要求建设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1" w:type="dxa"/>
                  <w:vMerge w:val="continue"/>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p>
              </w:tc>
              <w:tc>
                <w:tcPr>
                  <w:tcW w:w="1484" w:type="dxa"/>
                  <w:tcBorders>
                    <w:tl2br w:val="nil"/>
                    <w:tr2bl w:val="nil"/>
                  </w:tcBorders>
                  <w:vAlign w:val="center"/>
                </w:tcPr>
                <w:p>
                  <w:pPr>
                    <w:pStyle w:val="2"/>
                    <w:jc w:val="center"/>
                    <w:rPr>
                      <w:rFonts w:hint="default" w:ascii="Times New Roman" w:hAnsi="Times New Roman" w:eastAsia="宋体" w:cs="Times New Roman"/>
                      <w:b w:val="0"/>
                      <w:bCs/>
                      <w:color w:val="000000"/>
                      <w:sz w:val="21"/>
                      <w:szCs w:val="21"/>
                      <w:vertAlign w:val="baseline"/>
                      <w:lang w:val="en-US" w:eastAsia="zh-CN" w:bidi="ar-SA"/>
                    </w:rPr>
                  </w:pPr>
                  <w:r>
                    <w:rPr>
                      <w:rFonts w:hint="default" w:ascii="Times New Roman" w:hAnsi="Times New Roman" w:cs="Times New Roman"/>
                      <w:b w:val="0"/>
                      <w:bCs/>
                      <w:sz w:val="21"/>
                      <w:szCs w:val="21"/>
                      <w:vertAlign w:val="baseline"/>
                      <w:lang w:val="en-US" w:eastAsia="zh-CN"/>
                    </w:rPr>
                    <w:t>二道、三道清洗废水</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仪器清洗用水、实验室配置废液</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COD、SS、氨氮、总氮、总磷、石油类、挥发酚、四氯乙烯、甲醛、三氯甲烷、总氰化物</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经化污水处理站处理后排入南通市东港排水有限公司</w:t>
                  </w:r>
                </w:p>
              </w:tc>
              <w:tc>
                <w:tcPr>
                  <w:tcW w:w="1484" w:type="dxa"/>
                  <w:tcBorders>
                    <w:tl2br w:val="nil"/>
                    <w:tr2bl w:val="nil"/>
                  </w:tcBorders>
                  <w:vAlign w:val="center"/>
                </w:tcPr>
                <w:p>
                  <w:pPr>
                    <w:pStyle w:val="2"/>
                    <w:jc w:val="center"/>
                    <w:rPr>
                      <w:rFonts w:hint="default" w:ascii="Times New Roman" w:hAnsi="Times New Roman"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按照环评要求建设</w:t>
                  </w:r>
                </w:p>
              </w:tc>
            </w:tr>
          </w:tbl>
          <w:p>
            <w:pPr>
              <w:pStyle w:val="2"/>
              <w:jc w:val="center"/>
            </w:pPr>
            <w:bookmarkStart w:id="94" w:name="_Hlk132556712"/>
            <w:r>
              <w:object>
                <v:shape id="_x0000_i1026" o:spt="75" type="#_x0000_t75" style="height:176.05pt;width:415.2pt;" o:ole="t" filled="f" o:preferrelative="t" stroked="f" coordsize="21600,21600">
                  <v:path/>
                  <v:fill on="f" focussize="0,0"/>
                  <v:stroke on="f"/>
                  <v:imagedata r:id="rId11" o:title=""/>
                  <o:lock v:ext="edit" aspectratio="t"/>
                  <w10:wrap type="none"/>
                  <w10:anchorlock/>
                </v:shape>
                <o:OLEObject Type="Embed" ProgID="Visio.Drawing.15" ShapeID="_x0000_i1026" DrawAspect="Content" ObjectID="_1468075726" r:id="rId10">
                  <o:LockedField>false</o:LockedField>
                </o:OLEObject>
              </w:object>
            </w:r>
            <w:bookmarkEnd w:id="94"/>
          </w:p>
          <w:p>
            <w:pPr>
              <w:pStyle w:val="2"/>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图3-</w:t>
            </w:r>
            <w:r>
              <w:rPr>
                <w:rFonts w:hint="eastAsia" w:ascii="Times New Roman" w:hAnsi="Times New Roman" w:cs="Times New Roman"/>
                <w:b/>
                <w:bCs/>
                <w:sz w:val="21"/>
                <w:szCs w:val="21"/>
                <w:lang w:val="en-US" w:eastAsia="zh-CN"/>
              </w:rPr>
              <w:t>2</w:t>
            </w:r>
            <w:r>
              <w:rPr>
                <w:rFonts w:hint="default" w:ascii="Times New Roman" w:hAnsi="Times New Roman" w:eastAsia="宋体" w:cs="Times New Roman"/>
                <w:b/>
                <w:bCs/>
                <w:sz w:val="21"/>
                <w:szCs w:val="21"/>
                <w:lang w:val="en-US" w:eastAsia="zh-CN"/>
              </w:rPr>
              <w:t xml:space="preserve">  废</w:t>
            </w:r>
            <w:r>
              <w:rPr>
                <w:rFonts w:hint="eastAsia" w:ascii="Times New Roman" w:hAnsi="Times New Roman" w:cs="Times New Roman"/>
                <w:b/>
                <w:bCs/>
                <w:sz w:val="21"/>
                <w:szCs w:val="21"/>
                <w:lang w:val="en-US" w:eastAsia="zh-CN"/>
              </w:rPr>
              <w:t>水</w:t>
            </w:r>
            <w:r>
              <w:rPr>
                <w:rFonts w:hint="default" w:ascii="Times New Roman" w:hAnsi="Times New Roman" w:eastAsia="宋体" w:cs="Times New Roman"/>
                <w:b/>
                <w:bCs/>
                <w:sz w:val="21"/>
                <w:szCs w:val="21"/>
                <w:lang w:val="en-US" w:eastAsia="zh-CN"/>
              </w:rPr>
              <w:t>来源与治理措施</w:t>
            </w:r>
          </w:p>
          <w:p>
            <w:pPr>
              <w:pStyle w:val="2"/>
              <w:jc w:val="center"/>
              <w:rPr>
                <w:rFonts w:hint="default" w:ascii="Times New Roman" w:hAnsi="Times New Roman" w:eastAsia="宋体" w:cs="Times New Roman"/>
                <w:b/>
                <w:bCs/>
                <w:sz w:val="21"/>
                <w:szCs w:val="21"/>
                <w:lang w:val="en-US" w:eastAsia="zh-CN"/>
              </w:rPr>
            </w:pPr>
            <w:r>
              <w:drawing>
                <wp:inline distT="0" distB="0" distL="114300" distR="114300">
                  <wp:extent cx="3379470" cy="1520825"/>
                  <wp:effectExtent l="0" t="0" r="11430" b="317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2"/>
                          <a:stretch>
                            <a:fillRect/>
                          </a:stretch>
                        </pic:blipFill>
                        <pic:spPr>
                          <a:xfrm>
                            <a:off x="0" y="0"/>
                            <a:ext cx="3379470" cy="1520825"/>
                          </a:xfrm>
                          <a:prstGeom prst="rect">
                            <a:avLst/>
                          </a:prstGeom>
                          <a:noFill/>
                          <a:ln>
                            <a:noFill/>
                          </a:ln>
                        </pic:spPr>
                      </pic:pic>
                    </a:graphicData>
                  </a:graphic>
                </wp:inline>
              </w:drawing>
            </w:r>
          </w:p>
          <w:p>
            <w:pPr>
              <w:pStyle w:val="2"/>
              <w:jc w:val="center"/>
              <w:rPr>
                <w:rFonts w:hint="eastAsia"/>
                <w:b/>
                <w:kern w:val="0"/>
                <w:sz w:val="21"/>
                <w:szCs w:val="21"/>
              </w:rPr>
            </w:pPr>
            <w:r>
              <w:rPr>
                <w:rFonts w:hint="default" w:ascii="Times New Roman" w:hAnsi="Times New Roman" w:eastAsia="宋体" w:cs="Times New Roman"/>
                <w:b/>
                <w:bCs/>
                <w:sz w:val="21"/>
                <w:szCs w:val="21"/>
                <w:lang w:val="en-US" w:eastAsia="zh-CN"/>
              </w:rPr>
              <w:t>图3-</w:t>
            </w:r>
            <w:r>
              <w:rPr>
                <w:rFonts w:hint="eastAsia" w:ascii="Times New Roman" w:hAnsi="Times New Roman" w:cs="Times New Roman"/>
                <w:b/>
                <w:bCs/>
                <w:sz w:val="21"/>
                <w:szCs w:val="21"/>
                <w:lang w:val="en-US" w:eastAsia="zh-CN"/>
              </w:rPr>
              <w:t>3</w:t>
            </w:r>
            <w:r>
              <w:rPr>
                <w:rFonts w:hint="default" w:ascii="Times New Roman" w:hAnsi="Times New Roman" w:eastAsia="宋体" w:cs="Times New Roman"/>
                <w:b/>
                <w:bCs/>
                <w:sz w:val="21"/>
                <w:szCs w:val="21"/>
                <w:lang w:val="en-US" w:eastAsia="zh-CN"/>
              </w:rPr>
              <w:t xml:space="preserve">  </w:t>
            </w:r>
            <w:r>
              <w:rPr>
                <w:rFonts w:hint="eastAsia"/>
                <w:b/>
                <w:kern w:val="0"/>
                <w:sz w:val="21"/>
                <w:szCs w:val="21"/>
              </w:rPr>
              <w:t>自建污水处理站污水处理工艺流程图</w:t>
            </w:r>
          </w:p>
          <w:p>
            <w:pPr>
              <w:numPr>
                <w:ilvl w:val="0"/>
                <w:numId w:val="0"/>
              </w:num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2、废气</w:t>
            </w:r>
          </w:p>
          <w:p>
            <w:pPr>
              <w:numPr>
                <w:ilvl w:val="0"/>
                <w:numId w:val="0"/>
              </w:num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本项目主要废气污染源有</w:t>
            </w:r>
            <w:bookmarkStart w:id="95" w:name="_Hlk129769175"/>
            <w:r>
              <w:rPr>
                <w:rFonts w:hint="default" w:ascii="Times New Roman" w:hAnsi="Times New Roman" w:eastAsia="宋体" w:cs="Times New Roman"/>
                <w:sz w:val="24"/>
                <w:szCs w:val="24"/>
                <w:lang w:val="en-US" w:eastAsia="zh-CN"/>
              </w:rPr>
              <w:t>样品前处理过程中配取试剂溶液产生的化学试剂挥发废气</w:t>
            </w:r>
            <w:bookmarkEnd w:id="95"/>
            <w:r>
              <w:rPr>
                <w:rFonts w:hint="default" w:ascii="Times New Roman" w:hAnsi="Times New Roman" w:eastAsia="宋体" w:cs="Times New Roman"/>
                <w:sz w:val="24"/>
                <w:szCs w:val="24"/>
                <w:lang w:val="en-US" w:eastAsia="zh-CN"/>
              </w:rPr>
              <w:t>、实验室分析检测过程中化学试剂产生的挥发废气、配取试剂溶液产生的挥发废气、实验室清洁过程中利用化学试剂对仪器设备以及试剂瓶用盐酸、硝酸清洗时产生的清洗废气。废气经</w:t>
            </w:r>
            <w:r>
              <w:rPr>
                <w:rFonts w:hint="default" w:ascii="Times New Roman" w:hAnsi="Times New Roman" w:cs="Times New Roman"/>
                <w:sz w:val="24"/>
                <w:szCs w:val="24"/>
                <w:vertAlign w:val="baseline"/>
                <w:lang w:val="en-US" w:eastAsia="zh-CN"/>
              </w:rPr>
              <w:t>通风橱、吸风罩吸附后经碱喷淋装置和二级活性炭吸附装置后排放，活性炭更换周期为三个月。</w:t>
            </w:r>
            <w:r>
              <w:rPr>
                <w:rFonts w:hint="eastAsia" w:ascii="Times New Roman" w:hAnsi="Times New Roman" w:cs="Times New Roman"/>
                <w:sz w:val="24"/>
                <w:szCs w:val="24"/>
                <w:vertAlign w:val="baseline"/>
                <w:lang w:val="en-US" w:eastAsia="zh-CN"/>
              </w:rPr>
              <w:t>但实际项目产生的废气量很小，更换周期为一年一次。</w:t>
            </w:r>
          </w:p>
          <w:p>
            <w:pPr>
              <w:pStyle w:val="2"/>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表3-2  废气来源与治理措施</w:t>
            </w:r>
          </w:p>
          <w:tbl>
            <w:tblPr>
              <w:tblStyle w:val="21"/>
              <w:tblW w:w="0" w:type="auto"/>
              <w:tblInd w:w="5"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1383"/>
              <w:gridCol w:w="1383"/>
              <w:gridCol w:w="1383"/>
              <w:gridCol w:w="1384"/>
              <w:gridCol w:w="138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bCs w:val="0"/>
                      <w:color w:val="000000"/>
                      <w:sz w:val="21"/>
                      <w:szCs w:val="21"/>
                      <w:vertAlign w:val="baseline"/>
                      <w:lang w:val="en-US" w:eastAsia="zh-CN" w:bidi="ar-SA"/>
                    </w:rPr>
                  </w:pPr>
                  <w:r>
                    <w:rPr>
                      <w:rFonts w:hint="default" w:ascii="Times New Roman" w:hAnsi="Times New Roman" w:cs="Times New Roman"/>
                      <w:b/>
                      <w:bCs w:val="0"/>
                      <w:sz w:val="21"/>
                      <w:szCs w:val="21"/>
                      <w:vertAlign w:val="baseline"/>
                      <w:lang w:val="en-US" w:eastAsia="zh-CN"/>
                    </w:rPr>
                    <w:t>污染类别</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bCs w:val="0"/>
                      <w:color w:val="000000"/>
                      <w:sz w:val="21"/>
                      <w:szCs w:val="21"/>
                      <w:vertAlign w:val="baseline"/>
                      <w:lang w:val="en-US" w:eastAsia="zh-CN" w:bidi="ar-SA"/>
                    </w:rPr>
                  </w:pPr>
                  <w:r>
                    <w:rPr>
                      <w:rFonts w:hint="default" w:ascii="Times New Roman" w:hAnsi="Times New Roman" w:cs="Times New Roman"/>
                      <w:b/>
                      <w:bCs w:val="0"/>
                      <w:sz w:val="21"/>
                      <w:szCs w:val="21"/>
                      <w:vertAlign w:val="baseline"/>
                      <w:lang w:val="en-US" w:eastAsia="zh-CN"/>
                    </w:rPr>
                    <w:t>污染源名称</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bCs w:val="0"/>
                      <w:color w:val="000000"/>
                      <w:sz w:val="21"/>
                      <w:szCs w:val="21"/>
                      <w:vertAlign w:val="baseline"/>
                      <w:lang w:val="en-US" w:eastAsia="zh-CN" w:bidi="ar-SA"/>
                    </w:rPr>
                  </w:pPr>
                  <w:r>
                    <w:rPr>
                      <w:rFonts w:hint="default" w:ascii="Times New Roman" w:hAnsi="Times New Roman" w:cs="Times New Roman"/>
                      <w:b/>
                      <w:bCs w:val="0"/>
                      <w:sz w:val="21"/>
                      <w:szCs w:val="21"/>
                      <w:vertAlign w:val="baseline"/>
                      <w:lang w:val="en-US" w:eastAsia="zh-CN"/>
                    </w:rPr>
                    <w:t>产生工序</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bCs w:val="0"/>
                      <w:color w:val="000000"/>
                      <w:sz w:val="21"/>
                      <w:szCs w:val="21"/>
                      <w:vertAlign w:val="baseline"/>
                      <w:lang w:val="en-US" w:eastAsia="zh-CN" w:bidi="ar-SA"/>
                    </w:rPr>
                  </w:pPr>
                  <w:r>
                    <w:rPr>
                      <w:rFonts w:hint="default" w:ascii="Times New Roman" w:hAnsi="Times New Roman" w:cs="Times New Roman"/>
                      <w:b/>
                      <w:bCs w:val="0"/>
                      <w:sz w:val="21"/>
                      <w:szCs w:val="21"/>
                      <w:vertAlign w:val="baseline"/>
                      <w:lang w:val="en-US" w:eastAsia="zh-CN"/>
                    </w:rPr>
                    <w:t>主要污染因子</w:t>
                  </w:r>
                </w:p>
              </w:tc>
              <w:tc>
                <w:tcPr>
                  <w:tcW w:w="1384" w:type="dxa"/>
                  <w:tcBorders>
                    <w:tl2br w:val="nil"/>
                    <w:tr2bl w:val="nil"/>
                  </w:tcBorders>
                  <w:vAlign w:val="center"/>
                </w:tcPr>
                <w:p>
                  <w:pPr>
                    <w:pStyle w:val="2"/>
                    <w:spacing w:line="240" w:lineRule="auto"/>
                    <w:jc w:val="center"/>
                    <w:rPr>
                      <w:rFonts w:hint="default" w:ascii="Times New Roman" w:hAnsi="Times New Roman" w:eastAsia="宋体" w:cs="Times New Roman"/>
                      <w:b/>
                      <w:bCs w:val="0"/>
                      <w:color w:val="000000"/>
                      <w:sz w:val="21"/>
                      <w:szCs w:val="21"/>
                      <w:vertAlign w:val="baseline"/>
                      <w:lang w:val="en-US" w:eastAsia="zh-CN" w:bidi="ar-SA"/>
                    </w:rPr>
                  </w:pPr>
                  <w:r>
                    <w:rPr>
                      <w:rFonts w:hint="default" w:ascii="Times New Roman" w:hAnsi="Times New Roman" w:cs="Times New Roman"/>
                      <w:b/>
                      <w:bCs w:val="0"/>
                      <w:sz w:val="21"/>
                      <w:szCs w:val="21"/>
                      <w:vertAlign w:val="baseline"/>
                      <w:lang w:val="en-US" w:eastAsia="zh-CN"/>
                    </w:rPr>
                    <w:t>环评设计处理措施</w:t>
                  </w:r>
                </w:p>
              </w:tc>
              <w:tc>
                <w:tcPr>
                  <w:tcW w:w="1385" w:type="dxa"/>
                  <w:tcBorders>
                    <w:tl2br w:val="nil"/>
                    <w:tr2bl w:val="nil"/>
                  </w:tcBorders>
                  <w:vAlign w:val="center"/>
                </w:tcPr>
                <w:p>
                  <w:pPr>
                    <w:pStyle w:val="2"/>
                    <w:spacing w:line="240" w:lineRule="auto"/>
                    <w:jc w:val="center"/>
                    <w:rPr>
                      <w:rFonts w:hint="default" w:ascii="Times New Roman" w:hAnsi="Times New Roman" w:eastAsia="宋体" w:cs="Times New Roman"/>
                      <w:b/>
                      <w:bCs w:val="0"/>
                      <w:color w:val="000000"/>
                      <w:sz w:val="21"/>
                      <w:szCs w:val="21"/>
                      <w:vertAlign w:val="baseline"/>
                      <w:lang w:val="en-US" w:eastAsia="zh-CN" w:bidi="ar-SA"/>
                    </w:rPr>
                  </w:pPr>
                  <w:r>
                    <w:rPr>
                      <w:rFonts w:hint="default" w:ascii="Times New Roman" w:hAnsi="Times New Roman" w:cs="Times New Roman"/>
                      <w:b/>
                      <w:bCs w:val="0"/>
                      <w:sz w:val="21"/>
                      <w:szCs w:val="21"/>
                      <w:vertAlign w:val="baseline"/>
                      <w:lang w:val="en-US" w:eastAsia="zh-CN"/>
                    </w:rPr>
                    <w:t>实际处理措施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83" w:type="dxa"/>
                  <w:vMerge w:val="restart"/>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废气</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配取试剂溶液</w:t>
                  </w:r>
                  <w:r>
                    <w:rPr>
                      <w:rFonts w:hint="default" w:ascii="Times New Roman" w:hAnsi="Times New Roman" w:cs="Times New Roman"/>
                      <w:b w:val="0"/>
                      <w:bCs/>
                      <w:sz w:val="21"/>
                      <w:szCs w:val="21"/>
                      <w:lang w:val="en-US" w:eastAsia="zh-CN"/>
                    </w:rPr>
                    <w:t>废气</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样品前处理过程</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vertAlign w:val="baseline"/>
                      <w:lang w:val="en-US" w:eastAsia="zh-CN"/>
                    </w:rPr>
                    <w:t>氯化氢</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硫酸雾</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氮氧化物</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氨</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氯气</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非甲烷总烃</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三氯甲烷</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甲醛</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二硫化碳</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四氯乙烯</w:t>
                  </w:r>
                </w:p>
              </w:tc>
              <w:tc>
                <w:tcPr>
                  <w:tcW w:w="1384"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通风橱、吸风罩吸附后经碱喷淋装置和二级活性炭吸附装置后排放</w:t>
                  </w:r>
                </w:p>
              </w:tc>
              <w:tc>
                <w:tcPr>
                  <w:tcW w:w="1385" w:type="dxa"/>
                  <w:tcBorders>
                    <w:tl2br w:val="nil"/>
                    <w:tr2bl w:val="nil"/>
                  </w:tcBorders>
                  <w:vAlign w:val="center"/>
                </w:tcPr>
                <w:p>
                  <w:pPr>
                    <w:pStyle w:val="2"/>
                    <w:spacing w:line="240" w:lineRule="auto"/>
                    <w:jc w:val="center"/>
                    <w:rPr>
                      <w:rFonts w:hint="default" w:ascii="Times New Roman" w:hAnsi="Times New Roman" w:eastAsia="宋体" w:cs="Times New Roman"/>
                      <w:b w:val="0"/>
                      <w:bCs/>
                      <w:color w:val="000000"/>
                      <w:sz w:val="21"/>
                      <w:szCs w:val="21"/>
                      <w:vertAlign w:val="baseline"/>
                      <w:lang w:val="en-US" w:eastAsia="zh-CN" w:bidi="ar-SA"/>
                    </w:rPr>
                  </w:pPr>
                  <w:r>
                    <w:rPr>
                      <w:rFonts w:hint="default" w:ascii="Times New Roman" w:hAnsi="Times New Roman" w:cs="Times New Roman"/>
                      <w:b w:val="0"/>
                      <w:bCs/>
                      <w:sz w:val="21"/>
                      <w:szCs w:val="21"/>
                      <w:vertAlign w:val="baseline"/>
                      <w:lang w:val="en-US" w:eastAsia="zh-CN"/>
                    </w:rPr>
                    <w:t>通风橱、吸风罩吸附后经碱喷淋装置和二级活性炭吸附装置后排放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83" w:type="dxa"/>
                  <w:vMerge w:val="continue"/>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分析产生废气</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实验室分析检测过程</w:t>
                  </w:r>
                  <w:r>
                    <w:rPr>
                      <w:rFonts w:hint="default" w:ascii="Times New Roman" w:hAnsi="Times New Roman" w:cs="Times New Roman"/>
                      <w:b w:val="0"/>
                      <w:bCs/>
                      <w:sz w:val="21"/>
                      <w:szCs w:val="21"/>
                      <w:lang w:val="en-US" w:eastAsia="zh-CN"/>
                    </w:rPr>
                    <w:t>、</w:t>
                  </w:r>
                  <w:r>
                    <w:rPr>
                      <w:rFonts w:hint="default" w:ascii="Times New Roman" w:hAnsi="Times New Roman" w:eastAsia="宋体" w:cs="Times New Roman"/>
                      <w:b w:val="0"/>
                      <w:bCs/>
                      <w:sz w:val="21"/>
                      <w:szCs w:val="21"/>
                      <w:lang w:val="en-US" w:eastAsia="zh-CN"/>
                    </w:rPr>
                    <w:t>配取试剂溶液</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vertAlign w:val="baseline"/>
                      <w:lang w:val="en-US" w:eastAsia="zh-CN"/>
                    </w:rPr>
                    <w:t>氯化氢</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硫酸雾</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氮氧化物</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氨</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氯气</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非甲烷总烃</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三氯甲烷</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甲醛</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二硫化碳</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四氯乙烯</w:t>
                  </w:r>
                </w:p>
              </w:tc>
              <w:tc>
                <w:tcPr>
                  <w:tcW w:w="1384"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通风橱、吸风罩吸附后经碱喷淋装置和二级活性炭吸附装置后排放</w:t>
                  </w:r>
                </w:p>
              </w:tc>
              <w:tc>
                <w:tcPr>
                  <w:tcW w:w="1385" w:type="dxa"/>
                  <w:tcBorders>
                    <w:tl2br w:val="nil"/>
                    <w:tr2bl w:val="nil"/>
                  </w:tcBorders>
                  <w:vAlign w:val="center"/>
                </w:tcPr>
                <w:p>
                  <w:pPr>
                    <w:pStyle w:val="2"/>
                    <w:spacing w:line="240" w:lineRule="auto"/>
                    <w:jc w:val="center"/>
                    <w:rPr>
                      <w:rFonts w:hint="default" w:ascii="Times New Roman" w:hAnsi="Times New Roman" w:eastAsia="宋体" w:cs="Times New Roman"/>
                      <w:b w:val="0"/>
                      <w:bCs/>
                      <w:color w:val="000000"/>
                      <w:sz w:val="21"/>
                      <w:szCs w:val="21"/>
                      <w:vertAlign w:val="baseline"/>
                      <w:lang w:val="en-US" w:eastAsia="zh-CN" w:bidi="ar-SA"/>
                    </w:rPr>
                  </w:pPr>
                  <w:r>
                    <w:rPr>
                      <w:rFonts w:hint="default" w:ascii="Times New Roman" w:hAnsi="Times New Roman" w:cs="Times New Roman"/>
                      <w:b w:val="0"/>
                      <w:bCs/>
                      <w:sz w:val="21"/>
                      <w:szCs w:val="21"/>
                      <w:vertAlign w:val="baseline"/>
                      <w:lang w:val="en-US" w:eastAsia="zh-CN"/>
                    </w:rPr>
                    <w:t>通风橱、吸风罩吸附后经碱喷淋装置和二级活性炭吸附装置后排放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83" w:type="dxa"/>
                  <w:vMerge w:val="continue"/>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lang w:val="en-US" w:eastAsia="zh-CN"/>
                    </w:rPr>
                    <w:t>清洁</w:t>
                  </w:r>
                  <w:r>
                    <w:rPr>
                      <w:rFonts w:hint="default" w:ascii="Times New Roman" w:hAnsi="Times New Roman" w:eastAsia="宋体" w:cs="Times New Roman"/>
                      <w:b w:val="0"/>
                      <w:bCs/>
                      <w:sz w:val="21"/>
                      <w:szCs w:val="21"/>
                      <w:lang w:val="en-US" w:eastAsia="zh-CN"/>
                    </w:rPr>
                    <w:t>产生废气</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实验室清洁过程</w:t>
                  </w:r>
                </w:p>
              </w:tc>
              <w:tc>
                <w:tcPr>
                  <w:tcW w:w="1383"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vertAlign w:val="baseline"/>
                      <w:lang w:val="en-US" w:eastAsia="zh-CN"/>
                    </w:rPr>
                    <w:t>氮氧化物</w:t>
                  </w:r>
                  <w:r>
                    <w:rPr>
                      <w:rFonts w:hint="default" w:ascii="Times New Roman" w:hAnsi="Times New Roman" w:cs="Times New Roman"/>
                      <w:b w:val="0"/>
                      <w:bCs/>
                      <w:sz w:val="21"/>
                      <w:szCs w:val="21"/>
                      <w:vertAlign w:val="baseline"/>
                      <w:lang w:val="en-US" w:eastAsia="zh-CN"/>
                    </w:rPr>
                    <w:t>、</w:t>
                  </w:r>
                  <w:r>
                    <w:rPr>
                      <w:rFonts w:hint="default" w:ascii="Times New Roman" w:hAnsi="Times New Roman" w:eastAsia="宋体" w:cs="Times New Roman"/>
                      <w:b w:val="0"/>
                      <w:bCs/>
                      <w:sz w:val="21"/>
                      <w:szCs w:val="21"/>
                      <w:vertAlign w:val="baseline"/>
                      <w:lang w:val="en-US" w:eastAsia="zh-CN"/>
                    </w:rPr>
                    <w:t>氯化氢</w:t>
                  </w:r>
                </w:p>
              </w:tc>
              <w:tc>
                <w:tcPr>
                  <w:tcW w:w="1384"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通风橱、吸风罩吸附后经碱喷淋装置和二级活性炭吸附装置后排放</w:t>
                  </w:r>
                </w:p>
              </w:tc>
              <w:tc>
                <w:tcPr>
                  <w:tcW w:w="1385" w:type="dxa"/>
                  <w:tcBorders>
                    <w:tl2br w:val="nil"/>
                    <w:tr2bl w:val="nil"/>
                  </w:tcBorders>
                  <w:vAlign w:val="center"/>
                </w:tcPr>
                <w:p>
                  <w:pPr>
                    <w:pStyle w:val="2"/>
                    <w:spacing w:line="240" w:lineRule="auto"/>
                    <w:jc w:val="center"/>
                    <w:rPr>
                      <w:rFonts w:hint="default" w:ascii="Times New Roman" w:hAnsi="Times New Roman" w:eastAsia="宋体" w:cs="Times New Roman"/>
                      <w:b w:val="0"/>
                      <w:bCs/>
                      <w:color w:val="000000"/>
                      <w:sz w:val="21"/>
                      <w:szCs w:val="21"/>
                      <w:vertAlign w:val="baseline"/>
                      <w:lang w:val="en-US" w:eastAsia="zh-CN" w:bidi="ar-SA"/>
                    </w:rPr>
                  </w:pPr>
                  <w:r>
                    <w:rPr>
                      <w:rFonts w:hint="default" w:ascii="Times New Roman" w:hAnsi="Times New Roman" w:cs="Times New Roman"/>
                      <w:b w:val="0"/>
                      <w:bCs/>
                      <w:sz w:val="21"/>
                      <w:szCs w:val="21"/>
                      <w:vertAlign w:val="baseline"/>
                      <w:lang w:val="en-US" w:eastAsia="zh-CN"/>
                    </w:rPr>
                    <w:t>通风橱、吸风罩吸附后经碱喷淋装置和二级活性炭吸附装置后排放</w:t>
                  </w:r>
                </w:p>
              </w:tc>
            </w:tr>
          </w:tbl>
          <w:p>
            <w:pPr>
              <w:pStyle w:val="2"/>
              <w:jc w:val="both"/>
              <w:rPr>
                <w:rFonts w:hint="default" w:ascii="Times New Roman" w:hAnsi="Times New Roman" w:eastAsia="宋体" w:cs="Times New Roman"/>
                <w:b w:val="0"/>
                <w:bCs/>
                <w:sz w:val="24"/>
                <w:szCs w:val="24"/>
                <w:lang w:val="en-US" w:eastAsia="zh-CN"/>
              </w:rPr>
            </w:pPr>
            <w:r>
              <w:rPr>
                <w:rFonts w:hint="default" w:ascii="Times New Roman" w:hAnsi="Times New Roman" w:cs="Times New Roman"/>
                <w:b w:val="0"/>
                <w:bCs/>
                <w:sz w:val="24"/>
                <w:szCs w:val="24"/>
                <w:lang w:val="en-US" w:eastAsia="zh-CN"/>
              </w:rPr>
              <w:t>废气来源与治理措施如下图所示：</w:t>
            </w:r>
          </w:p>
          <w:p>
            <w:pPr>
              <w:pStyle w:val="2"/>
              <w:jc w:val="both"/>
              <w:rPr>
                <w:rFonts w:hint="default" w:ascii="Times New Roman" w:hAnsi="Times New Roman" w:eastAsia="宋体" w:cs="Times New Roman"/>
                <w:sz w:val="24"/>
                <w:szCs w:val="24"/>
                <w:lang w:val="en-US" w:eastAsia="zh-CN"/>
              </w:rPr>
            </w:pPr>
            <w:bookmarkStart w:id="96" w:name="_Hlk132288959"/>
            <w:r>
              <w:rPr>
                <w:rFonts w:hint="default" w:ascii="Times New Roman" w:hAnsi="Times New Roman" w:cs="Times New Roman"/>
              </w:rPr>
              <w:object>
                <v:shape id="_x0000_i1027" o:spt="75" type="#_x0000_t75" style="height:182.25pt;width:411.7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bookmarkEnd w:id="96"/>
          </w:p>
          <w:p>
            <w:pPr>
              <w:pStyle w:val="2"/>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图3-</w:t>
            </w:r>
            <w:r>
              <w:rPr>
                <w:rFonts w:hint="eastAsia" w:ascii="Times New Roman" w:hAnsi="Times New Roman" w:cs="Times New Roman"/>
                <w:b/>
                <w:bCs/>
                <w:sz w:val="21"/>
                <w:szCs w:val="21"/>
                <w:lang w:val="en-US" w:eastAsia="zh-CN"/>
              </w:rPr>
              <w:t>5</w:t>
            </w:r>
            <w:r>
              <w:rPr>
                <w:rFonts w:hint="default" w:ascii="Times New Roman" w:hAnsi="Times New Roman" w:eastAsia="宋体" w:cs="Times New Roman"/>
                <w:b/>
                <w:bCs/>
                <w:sz w:val="21"/>
                <w:szCs w:val="21"/>
                <w:lang w:val="en-US" w:eastAsia="zh-CN"/>
              </w:rPr>
              <w:t xml:space="preserve">  废气来源与治理措施</w:t>
            </w:r>
          </w:p>
          <w:p>
            <w:pPr>
              <w:numPr>
                <w:ilvl w:val="0"/>
                <w:numId w:val="0"/>
              </w:num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3、噪声</w:t>
            </w:r>
          </w:p>
          <w:p>
            <w:pPr>
              <w:numPr>
                <w:ilvl w:val="0"/>
                <w:numId w:val="0"/>
              </w:numPr>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本项目噪声声源主要为超声波清洗机、环保风机、通风橱风机、吸风罩、废水处理站水泵，单台设备噪声值为65-80dB（A）。</w:t>
            </w:r>
            <w:r>
              <w:rPr>
                <w:rFonts w:hint="default" w:ascii="Times New Roman" w:hAnsi="Times New Roman" w:eastAsia="宋体" w:cs="Times New Roman"/>
                <w:sz w:val="24"/>
                <w:szCs w:val="24"/>
                <w:lang w:eastAsia="zh-CN"/>
              </w:rPr>
              <w:t>建设项目营运期各噪声污染源强见表</w:t>
            </w:r>
            <w:r>
              <w:rPr>
                <w:rFonts w:hint="default" w:ascii="Times New Roman" w:hAnsi="Times New Roman" w:eastAsia="宋体" w:cs="Times New Roman"/>
                <w:sz w:val="24"/>
                <w:szCs w:val="24"/>
                <w:lang w:val="en-US" w:eastAsia="zh-CN"/>
              </w:rPr>
              <w:t>3-3</w:t>
            </w:r>
            <w:r>
              <w:rPr>
                <w:rFonts w:hint="default" w:ascii="Times New Roman" w:hAnsi="Times New Roman" w:eastAsia="宋体" w:cs="Times New Roman"/>
                <w:sz w:val="24"/>
                <w:szCs w:val="24"/>
                <w:lang w:eastAsia="zh-CN"/>
              </w:rPr>
              <w:t>。</w:t>
            </w:r>
          </w:p>
          <w:p>
            <w:pPr>
              <w:pStyle w:val="2"/>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 xml:space="preserve">表3-3  </w:t>
            </w:r>
            <w:r>
              <w:rPr>
                <w:rFonts w:hint="default" w:ascii="Times New Roman" w:hAnsi="Times New Roman" w:eastAsia="宋体" w:cs="Times New Roman"/>
                <w:b/>
                <w:bCs/>
                <w:sz w:val="21"/>
                <w:szCs w:val="21"/>
              </w:rPr>
              <w:t>建设项目营运期主要噪声源源强</w:t>
            </w:r>
          </w:p>
          <w:tbl>
            <w:tblPr>
              <w:tblStyle w:val="21"/>
              <w:tblW w:w="8306" w:type="dxa"/>
              <w:tblInd w:w="5"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1186"/>
              <w:gridCol w:w="1186"/>
              <w:gridCol w:w="1187"/>
              <w:gridCol w:w="1187"/>
              <w:gridCol w:w="1187"/>
              <w:gridCol w:w="118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86" w:type="dxa"/>
                  <w:tcBorders>
                    <w:tl2br w:val="nil"/>
                    <w:tr2bl w:val="nil"/>
                  </w:tcBorders>
                  <w:vAlign w:val="center"/>
                </w:tcPr>
                <w:p>
                  <w:pPr>
                    <w:pStyle w:val="11"/>
                    <w:spacing w:line="240" w:lineRule="auto"/>
                    <w:ind w:firstLine="0" w:firstLineChars="0"/>
                    <w:jc w:val="center"/>
                    <w:rPr>
                      <w:rFonts w:hint="default" w:ascii="Times New Roman" w:hAnsi="Times New Roman" w:eastAsia="宋体" w:cs="Times New Roman"/>
                      <w:b/>
                      <w:bCs w:val="0"/>
                      <w:kern w:val="2"/>
                      <w:sz w:val="21"/>
                      <w:szCs w:val="21"/>
                      <w:lang w:val="en-US" w:eastAsia="zh-CN" w:bidi="ar-SA"/>
                    </w:rPr>
                  </w:pPr>
                  <w:r>
                    <w:rPr>
                      <w:rFonts w:hint="default" w:ascii="Times New Roman" w:hAnsi="Times New Roman" w:eastAsia="宋体" w:cs="Times New Roman"/>
                      <w:b/>
                      <w:bCs w:val="0"/>
                      <w:sz w:val="21"/>
                      <w:szCs w:val="21"/>
                      <w:lang w:val="en-US" w:eastAsia="zh-CN"/>
                    </w:rPr>
                    <w:t>序号</w:t>
                  </w:r>
                </w:p>
              </w:tc>
              <w:tc>
                <w:tcPr>
                  <w:tcW w:w="1186" w:type="dxa"/>
                  <w:tcBorders>
                    <w:tl2br w:val="nil"/>
                    <w:tr2bl w:val="nil"/>
                  </w:tcBorders>
                  <w:vAlign w:val="center"/>
                </w:tcPr>
                <w:p>
                  <w:pPr>
                    <w:pStyle w:val="11"/>
                    <w:spacing w:line="240" w:lineRule="auto"/>
                    <w:ind w:firstLine="0" w:firstLineChars="0"/>
                    <w:jc w:val="center"/>
                    <w:rPr>
                      <w:rFonts w:hint="default" w:ascii="Times New Roman" w:hAnsi="Times New Roman" w:eastAsia="宋体" w:cs="Times New Roman"/>
                      <w:b/>
                      <w:bCs w:val="0"/>
                      <w:kern w:val="2"/>
                      <w:sz w:val="21"/>
                      <w:szCs w:val="21"/>
                      <w:lang w:val="en-US" w:eastAsia="zh-CN" w:bidi="ar-SA"/>
                    </w:rPr>
                  </w:pPr>
                  <w:r>
                    <w:rPr>
                      <w:rFonts w:hint="default" w:ascii="Times New Roman" w:hAnsi="Times New Roman" w:eastAsia="宋体" w:cs="Times New Roman"/>
                      <w:b/>
                      <w:bCs w:val="0"/>
                      <w:sz w:val="21"/>
                      <w:szCs w:val="21"/>
                      <w:lang w:val="en-US" w:eastAsia="zh-CN"/>
                    </w:rPr>
                    <w:t>污染源名称</w:t>
                  </w:r>
                </w:p>
              </w:tc>
              <w:tc>
                <w:tcPr>
                  <w:tcW w:w="1186" w:type="dxa"/>
                  <w:tcBorders>
                    <w:tl2br w:val="nil"/>
                    <w:tr2bl w:val="nil"/>
                  </w:tcBorders>
                  <w:vAlign w:val="center"/>
                </w:tcPr>
                <w:p>
                  <w:pPr>
                    <w:pStyle w:val="11"/>
                    <w:spacing w:line="240" w:lineRule="auto"/>
                    <w:ind w:firstLine="0" w:firstLineChars="0"/>
                    <w:jc w:val="center"/>
                    <w:rPr>
                      <w:rFonts w:hint="default" w:ascii="Times New Roman" w:hAnsi="Times New Roman" w:eastAsia="宋体" w:cs="Times New Roman"/>
                      <w:b/>
                      <w:bCs w:val="0"/>
                      <w:kern w:val="2"/>
                      <w:sz w:val="21"/>
                      <w:szCs w:val="21"/>
                      <w:lang w:val="en-US" w:eastAsia="zh-CN" w:bidi="ar-SA"/>
                    </w:rPr>
                  </w:pPr>
                  <w:r>
                    <w:rPr>
                      <w:rFonts w:hint="default" w:ascii="Times New Roman" w:hAnsi="Times New Roman" w:eastAsia="宋体" w:cs="Times New Roman"/>
                      <w:b/>
                      <w:bCs w:val="0"/>
                      <w:sz w:val="21"/>
                      <w:szCs w:val="21"/>
                      <w:lang w:val="en-US" w:eastAsia="zh-CN"/>
                    </w:rPr>
                    <w:t>数量</w:t>
                  </w:r>
                </w:p>
              </w:tc>
              <w:tc>
                <w:tcPr>
                  <w:tcW w:w="1187" w:type="dxa"/>
                  <w:tcBorders>
                    <w:tl2br w:val="nil"/>
                    <w:tr2bl w:val="nil"/>
                  </w:tcBorders>
                  <w:vAlign w:val="center"/>
                </w:tcPr>
                <w:p>
                  <w:pPr>
                    <w:pStyle w:val="11"/>
                    <w:spacing w:line="240" w:lineRule="auto"/>
                    <w:ind w:firstLine="0" w:firstLineChars="0"/>
                    <w:jc w:val="center"/>
                    <w:rPr>
                      <w:rFonts w:hint="default" w:ascii="Times New Roman" w:hAnsi="Times New Roman" w:eastAsia="宋体" w:cs="Times New Roman"/>
                      <w:b/>
                      <w:bCs w:val="0"/>
                      <w:kern w:val="2"/>
                      <w:sz w:val="21"/>
                      <w:szCs w:val="21"/>
                      <w:lang w:val="en-US" w:eastAsia="zh-CN" w:bidi="ar-SA"/>
                    </w:rPr>
                  </w:pPr>
                  <w:r>
                    <w:rPr>
                      <w:rFonts w:hint="default" w:ascii="Times New Roman" w:hAnsi="Times New Roman" w:eastAsia="宋体" w:cs="Times New Roman"/>
                      <w:b/>
                      <w:bCs w:val="0"/>
                      <w:sz w:val="21"/>
                      <w:szCs w:val="21"/>
                      <w:lang w:val="en-US" w:eastAsia="zh-CN"/>
                    </w:rPr>
                    <w:t>等效声级（dB(A)）</w:t>
                  </w:r>
                </w:p>
              </w:tc>
              <w:tc>
                <w:tcPr>
                  <w:tcW w:w="1187" w:type="dxa"/>
                  <w:tcBorders>
                    <w:tl2br w:val="nil"/>
                    <w:tr2bl w:val="nil"/>
                  </w:tcBorders>
                  <w:vAlign w:val="center"/>
                </w:tcPr>
                <w:p>
                  <w:pPr>
                    <w:pStyle w:val="11"/>
                    <w:spacing w:line="240" w:lineRule="auto"/>
                    <w:ind w:firstLine="0" w:firstLineChars="0"/>
                    <w:jc w:val="center"/>
                    <w:rPr>
                      <w:rFonts w:hint="default" w:ascii="Times New Roman" w:hAnsi="Times New Roman" w:eastAsia="宋体" w:cs="Times New Roman"/>
                      <w:b/>
                      <w:bCs w:val="0"/>
                      <w:kern w:val="2"/>
                      <w:sz w:val="21"/>
                      <w:szCs w:val="21"/>
                      <w:lang w:val="en-US" w:eastAsia="zh-CN" w:bidi="ar-SA"/>
                    </w:rPr>
                  </w:pPr>
                  <w:r>
                    <w:rPr>
                      <w:rFonts w:hint="default" w:ascii="Times New Roman" w:hAnsi="Times New Roman" w:eastAsia="宋体" w:cs="Times New Roman"/>
                      <w:b/>
                      <w:bCs w:val="0"/>
                      <w:sz w:val="21"/>
                      <w:szCs w:val="21"/>
                      <w:lang w:val="en-US" w:eastAsia="zh-CN"/>
                    </w:rPr>
                    <w:t>位置</w:t>
                  </w:r>
                </w:p>
              </w:tc>
              <w:tc>
                <w:tcPr>
                  <w:tcW w:w="1187" w:type="dxa"/>
                  <w:tcBorders>
                    <w:tl2br w:val="nil"/>
                    <w:tr2bl w:val="nil"/>
                  </w:tcBorders>
                  <w:vAlign w:val="center"/>
                </w:tcPr>
                <w:p>
                  <w:pPr>
                    <w:pStyle w:val="11"/>
                    <w:spacing w:line="240" w:lineRule="auto"/>
                    <w:ind w:firstLine="0" w:firstLineChars="0"/>
                    <w:jc w:val="center"/>
                    <w:rPr>
                      <w:rFonts w:hint="default" w:ascii="Times New Roman" w:hAnsi="Times New Roman" w:eastAsia="宋体" w:cs="Times New Roman"/>
                      <w:b/>
                      <w:bCs w:val="0"/>
                      <w:kern w:val="2"/>
                      <w:sz w:val="21"/>
                      <w:szCs w:val="21"/>
                      <w:lang w:val="en-US" w:eastAsia="zh-CN" w:bidi="ar-SA"/>
                    </w:rPr>
                  </w:pPr>
                  <w:r>
                    <w:rPr>
                      <w:rFonts w:hint="default" w:ascii="Times New Roman" w:hAnsi="Times New Roman" w:eastAsia="宋体" w:cs="Times New Roman"/>
                      <w:b/>
                      <w:bCs w:val="0"/>
                      <w:sz w:val="21"/>
                      <w:szCs w:val="21"/>
                      <w:lang w:val="en-US" w:eastAsia="zh-CN"/>
                    </w:rPr>
                    <w:t>距厂界最近距离（m）</w:t>
                  </w:r>
                </w:p>
              </w:tc>
              <w:tc>
                <w:tcPr>
                  <w:tcW w:w="1187" w:type="dxa"/>
                  <w:tcBorders>
                    <w:tl2br w:val="nil"/>
                    <w:tr2bl w:val="nil"/>
                  </w:tcBorders>
                  <w:vAlign w:val="center"/>
                </w:tcPr>
                <w:p>
                  <w:pPr>
                    <w:pStyle w:val="11"/>
                    <w:spacing w:line="240" w:lineRule="auto"/>
                    <w:ind w:firstLine="0" w:firstLineChars="0"/>
                    <w:jc w:val="center"/>
                    <w:rPr>
                      <w:rFonts w:hint="default" w:ascii="Times New Roman" w:hAnsi="Times New Roman" w:eastAsia="宋体" w:cs="Times New Roman"/>
                      <w:b/>
                      <w:bCs w:val="0"/>
                      <w:kern w:val="2"/>
                      <w:sz w:val="21"/>
                      <w:szCs w:val="21"/>
                      <w:lang w:val="en-US" w:eastAsia="zh-CN" w:bidi="ar-SA"/>
                    </w:rPr>
                  </w:pPr>
                  <w:r>
                    <w:rPr>
                      <w:rFonts w:hint="default" w:ascii="Times New Roman" w:hAnsi="Times New Roman" w:eastAsia="宋体" w:cs="Times New Roman"/>
                      <w:b/>
                      <w:bCs w:val="0"/>
                      <w:sz w:val="21"/>
                      <w:szCs w:val="21"/>
                      <w:lang w:val="en-US" w:eastAsia="zh-CN"/>
                    </w:rPr>
                    <w:t>治理措施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1</w:t>
                  </w:r>
                </w:p>
              </w:tc>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超声波清洗机</w:t>
                  </w:r>
                </w:p>
              </w:tc>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1</w:t>
                  </w:r>
                </w:p>
              </w:tc>
              <w:tc>
                <w:tcPr>
                  <w:tcW w:w="1187"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80</w:t>
                  </w:r>
                </w:p>
              </w:tc>
              <w:tc>
                <w:tcPr>
                  <w:tcW w:w="1187"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生产车间</w:t>
                  </w:r>
                </w:p>
              </w:tc>
              <w:tc>
                <w:tcPr>
                  <w:tcW w:w="1187"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5</w:t>
                  </w:r>
                </w:p>
              </w:tc>
              <w:tc>
                <w:tcPr>
                  <w:tcW w:w="1187"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安装隔声罩、减振垫</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2</w:t>
                  </w:r>
                </w:p>
              </w:tc>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环保风机</w:t>
                  </w:r>
                </w:p>
              </w:tc>
              <w:tc>
                <w:tcPr>
                  <w:tcW w:w="1186" w:type="dxa"/>
                  <w:tcBorders>
                    <w:tl2br w:val="nil"/>
                    <w:tr2bl w:val="nil"/>
                  </w:tcBorders>
                  <w:vAlign w:val="center"/>
                </w:tcPr>
                <w:p>
                  <w:pPr>
                    <w:pStyle w:val="30"/>
                    <w:adjustRightInd w:val="0"/>
                    <w:snapToGrid w:val="0"/>
                    <w:spacing w:line="240" w:lineRule="auto"/>
                    <w:ind w:firstLine="0" w:firstLineChars="0"/>
                    <w:jc w:val="center"/>
                    <w:rPr>
                      <w:rFonts w:hint="default" w:ascii="Times New Roman" w:hAnsi="Times New Roman" w:eastAsia="宋体" w:cs="Times New Roman"/>
                      <w:b w:val="0"/>
                      <w:bCs/>
                      <w:snapToGrid w:val="0"/>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1</w:t>
                  </w:r>
                </w:p>
              </w:tc>
              <w:tc>
                <w:tcPr>
                  <w:tcW w:w="1187" w:type="dxa"/>
                  <w:tcBorders>
                    <w:tl2br w:val="nil"/>
                    <w:tr2bl w:val="nil"/>
                  </w:tcBorders>
                  <w:vAlign w:val="center"/>
                </w:tcPr>
                <w:p>
                  <w:pPr>
                    <w:pStyle w:val="30"/>
                    <w:adjustRightInd w:val="0"/>
                    <w:snapToGrid w:val="0"/>
                    <w:spacing w:line="240" w:lineRule="auto"/>
                    <w:ind w:firstLine="0" w:firstLineChars="0"/>
                    <w:jc w:val="center"/>
                    <w:rPr>
                      <w:rFonts w:hint="default" w:ascii="Times New Roman" w:hAnsi="Times New Roman" w:eastAsia="宋体" w:cs="Times New Roman"/>
                      <w:b w:val="0"/>
                      <w:bCs/>
                      <w:snapToGrid w:val="0"/>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65</w:t>
                  </w:r>
                </w:p>
              </w:tc>
              <w:tc>
                <w:tcPr>
                  <w:tcW w:w="1187" w:type="dxa"/>
                  <w:tcBorders>
                    <w:tl2br w:val="nil"/>
                    <w:tr2bl w:val="nil"/>
                  </w:tcBorders>
                  <w:vAlign w:val="center"/>
                </w:tcPr>
                <w:p>
                  <w:pPr>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生产车间</w:t>
                  </w:r>
                </w:p>
              </w:tc>
              <w:tc>
                <w:tcPr>
                  <w:tcW w:w="1187"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20</w:t>
                  </w:r>
                </w:p>
              </w:tc>
              <w:tc>
                <w:tcPr>
                  <w:tcW w:w="1187" w:type="dxa"/>
                  <w:tcBorders>
                    <w:tl2br w:val="nil"/>
                    <w:tr2bl w:val="nil"/>
                  </w:tcBorders>
                  <w:vAlign w:val="center"/>
                </w:tcPr>
                <w:p>
                  <w:pPr>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安装隔声罩、减振垫</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3</w:t>
                  </w:r>
                </w:p>
              </w:tc>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通风橱风机</w:t>
                  </w:r>
                </w:p>
              </w:tc>
              <w:tc>
                <w:tcPr>
                  <w:tcW w:w="1186" w:type="dxa"/>
                  <w:tcBorders>
                    <w:tl2br w:val="nil"/>
                    <w:tr2bl w:val="nil"/>
                  </w:tcBorders>
                  <w:vAlign w:val="center"/>
                </w:tcPr>
                <w:p>
                  <w:pPr>
                    <w:pStyle w:val="30"/>
                    <w:adjustRightInd w:val="0"/>
                    <w:snapToGrid w:val="0"/>
                    <w:spacing w:line="240" w:lineRule="auto"/>
                    <w:ind w:firstLine="0" w:firstLineChars="0"/>
                    <w:jc w:val="center"/>
                    <w:rPr>
                      <w:rFonts w:hint="default" w:ascii="Times New Roman" w:hAnsi="Times New Roman" w:eastAsia="宋体" w:cs="Times New Roman"/>
                      <w:b w:val="0"/>
                      <w:bCs/>
                      <w:snapToGrid w:val="0"/>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15</w:t>
                  </w:r>
                </w:p>
              </w:tc>
              <w:tc>
                <w:tcPr>
                  <w:tcW w:w="1187" w:type="dxa"/>
                  <w:tcBorders>
                    <w:tl2br w:val="nil"/>
                    <w:tr2bl w:val="nil"/>
                  </w:tcBorders>
                  <w:vAlign w:val="center"/>
                </w:tcPr>
                <w:p>
                  <w:pPr>
                    <w:pStyle w:val="30"/>
                    <w:adjustRightInd w:val="0"/>
                    <w:snapToGrid w:val="0"/>
                    <w:spacing w:line="240" w:lineRule="auto"/>
                    <w:ind w:firstLine="0" w:firstLineChars="0"/>
                    <w:jc w:val="center"/>
                    <w:rPr>
                      <w:rFonts w:hint="default" w:ascii="Times New Roman" w:hAnsi="Times New Roman" w:eastAsia="宋体" w:cs="Times New Roman"/>
                      <w:b w:val="0"/>
                      <w:bCs/>
                      <w:snapToGrid w:val="0"/>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65</w:t>
                  </w:r>
                </w:p>
              </w:tc>
              <w:tc>
                <w:tcPr>
                  <w:tcW w:w="1187" w:type="dxa"/>
                  <w:tcBorders>
                    <w:tl2br w:val="nil"/>
                    <w:tr2bl w:val="nil"/>
                  </w:tcBorders>
                  <w:vAlign w:val="center"/>
                </w:tcPr>
                <w:p>
                  <w:pPr>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生产车间</w:t>
                  </w:r>
                </w:p>
              </w:tc>
              <w:tc>
                <w:tcPr>
                  <w:tcW w:w="1187"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28</w:t>
                  </w:r>
                </w:p>
              </w:tc>
              <w:tc>
                <w:tcPr>
                  <w:tcW w:w="1187" w:type="dxa"/>
                  <w:tcBorders>
                    <w:tl2br w:val="nil"/>
                    <w:tr2bl w:val="nil"/>
                  </w:tcBorders>
                  <w:vAlign w:val="center"/>
                </w:tcPr>
                <w:p>
                  <w:pPr>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安装隔声罩、减振垫</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4</w:t>
                  </w:r>
                </w:p>
              </w:tc>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吸风罩</w:t>
                  </w:r>
                </w:p>
              </w:tc>
              <w:tc>
                <w:tcPr>
                  <w:tcW w:w="1186" w:type="dxa"/>
                  <w:tcBorders>
                    <w:tl2br w:val="nil"/>
                    <w:tr2bl w:val="nil"/>
                  </w:tcBorders>
                  <w:vAlign w:val="center"/>
                </w:tcPr>
                <w:p>
                  <w:pPr>
                    <w:pStyle w:val="30"/>
                    <w:adjustRightInd w:val="0"/>
                    <w:snapToGrid w:val="0"/>
                    <w:spacing w:line="240" w:lineRule="auto"/>
                    <w:ind w:firstLine="0" w:firstLineChars="0"/>
                    <w:jc w:val="center"/>
                    <w:rPr>
                      <w:rFonts w:hint="default" w:ascii="Times New Roman" w:hAnsi="Times New Roman" w:eastAsia="宋体" w:cs="Times New Roman"/>
                      <w:b w:val="0"/>
                      <w:bCs/>
                      <w:snapToGrid w:val="0"/>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9</w:t>
                  </w:r>
                </w:p>
              </w:tc>
              <w:tc>
                <w:tcPr>
                  <w:tcW w:w="1187" w:type="dxa"/>
                  <w:tcBorders>
                    <w:tl2br w:val="nil"/>
                    <w:tr2bl w:val="nil"/>
                  </w:tcBorders>
                  <w:vAlign w:val="center"/>
                </w:tcPr>
                <w:p>
                  <w:pPr>
                    <w:pStyle w:val="30"/>
                    <w:adjustRightInd w:val="0"/>
                    <w:snapToGrid w:val="0"/>
                    <w:spacing w:line="240" w:lineRule="auto"/>
                    <w:ind w:firstLine="0" w:firstLineChars="0"/>
                    <w:jc w:val="center"/>
                    <w:rPr>
                      <w:rFonts w:hint="default" w:ascii="Times New Roman" w:hAnsi="Times New Roman" w:eastAsia="宋体" w:cs="Times New Roman"/>
                      <w:b w:val="0"/>
                      <w:bCs/>
                      <w:snapToGrid w:val="0"/>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65</w:t>
                  </w:r>
                </w:p>
              </w:tc>
              <w:tc>
                <w:tcPr>
                  <w:tcW w:w="1187" w:type="dxa"/>
                  <w:tcBorders>
                    <w:tl2br w:val="nil"/>
                    <w:tr2bl w:val="nil"/>
                  </w:tcBorders>
                  <w:vAlign w:val="center"/>
                </w:tcPr>
                <w:p>
                  <w:pPr>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生产车间</w:t>
                  </w:r>
                </w:p>
              </w:tc>
              <w:tc>
                <w:tcPr>
                  <w:tcW w:w="1187"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20</w:t>
                  </w:r>
                </w:p>
              </w:tc>
              <w:tc>
                <w:tcPr>
                  <w:tcW w:w="1187" w:type="dxa"/>
                  <w:tcBorders>
                    <w:tl2br w:val="nil"/>
                    <w:tr2bl w:val="nil"/>
                  </w:tcBorders>
                  <w:vAlign w:val="center"/>
                </w:tcPr>
                <w:p>
                  <w:pPr>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安装隔声罩、减振垫</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5</w:t>
                  </w:r>
                </w:p>
              </w:tc>
              <w:tc>
                <w:tcPr>
                  <w:tcW w:w="1186"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lang w:val="en-US" w:eastAsia="zh-CN"/>
                    </w:rPr>
                    <w:t>废水处理站水泵</w:t>
                  </w:r>
                </w:p>
              </w:tc>
              <w:tc>
                <w:tcPr>
                  <w:tcW w:w="1186" w:type="dxa"/>
                  <w:tcBorders>
                    <w:tl2br w:val="nil"/>
                    <w:tr2bl w:val="nil"/>
                  </w:tcBorders>
                  <w:vAlign w:val="center"/>
                </w:tcPr>
                <w:p>
                  <w:pPr>
                    <w:pStyle w:val="30"/>
                    <w:adjustRightInd w:val="0"/>
                    <w:snapToGrid w:val="0"/>
                    <w:spacing w:line="240" w:lineRule="auto"/>
                    <w:ind w:firstLine="0" w:firstLineChars="0"/>
                    <w:jc w:val="center"/>
                    <w:rPr>
                      <w:rFonts w:hint="default" w:ascii="Times New Roman" w:hAnsi="Times New Roman" w:eastAsia="宋体" w:cs="Times New Roman"/>
                      <w:b w:val="0"/>
                      <w:bCs/>
                      <w:snapToGrid w:val="0"/>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2</w:t>
                  </w:r>
                </w:p>
              </w:tc>
              <w:tc>
                <w:tcPr>
                  <w:tcW w:w="1187" w:type="dxa"/>
                  <w:tcBorders>
                    <w:tl2br w:val="nil"/>
                    <w:tr2bl w:val="nil"/>
                  </w:tcBorders>
                  <w:vAlign w:val="center"/>
                </w:tcPr>
                <w:p>
                  <w:pPr>
                    <w:pStyle w:val="30"/>
                    <w:adjustRightInd w:val="0"/>
                    <w:snapToGrid w:val="0"/>
                    <w:spacing w:line="240" w:lineRule="auto"/>
                    <w:ind w:firstLine="0" w:firstLineChars="0"/>
                    <w:jc w:val="center"/>
                    <w:rPr>
                      <w:rFonts w:hint="default" w:ascii="Times New Roman" w:hAnsi="Times New Roman" w:eastAsia="宋体" w:cs="Times New Roman"/>
                      <w:b w:val="0"/>
                      <w:bCs/>
                      <w:snapToGrid w:val="0"/>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70</w:t>
                  </w:r>
                </w:p>
              </w:tc>
              <w:tc>
                <w:tcPr>
                  <w:tcW w:w="1187" w:type="dxa"/>
                  <w:tcBorders>
                    <w:tl2br w:val="nil"/>
                    <w:tr2bl w:val="nil"/>
                  </w:tcBorders>
                  <w:vAlign w:val="center"/>
                </w:tcPr>
                <w:p>
                  <w:pPr>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生产车间</w:t>
                  </w:r>
                </w:p>
              </w:tc>
              <w:tc>
                <w:tcPr>
                  <w:tcW w:w="1187" w:type="dxa"/>
                  <w:tcBorders>
                    <w:tl2br w:val="nil"/>
                    <w:tr2bl w:val="nil"/>
                  </w:tcBorders>
                  <w:vAlign w:val="center"/>
                </w:tcPr>
                <w:p>
                  <w:pPr>
                    <w:pStyle w:val="2"/>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cs="Times New Roman"/>
                      <w:b w:val="0"/>
                      <w:bCs/>
                      <w:sz w:val="21"/>
                      <w:szCs w:val="21"/>
                      <w:vertAlign w:val="baseline"/>
                      <w:lang w:val="en-US" w:eastAsia="zh-CN"/>
                    </w:rPr>
                    <w:t>1</w:t>
                  </w:r>
                </w:p>
              </w:tc>
              <w:tc>
                <w:tcPr>
                  <w:tcW w:w="1187" w:type="dxa"/>
                  <w:tcBorders>
                    <w:tl2br w:val="nil"/>
                    <w:tr2bl w:val="nil"/>
                  </w:tcBorders>
                  <w:vAlign w:val="center"/>
                </w:tcPr>
                <w:p>
                  <w:pPr>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napToGrid w:val="0"/>
                      <w:color w:val="000000" w:themeColor="text1"/>
                      <w:kern w:val="0"/>
                      <w:sz w:val="21"/>
                      <w:szCs w:val="21"/>
                      <w14:textFill>
                        <w14:solidFill>
                          <w14:schemeClr w14:val="tx1"/>
                        </w14:solidFill>
                      </w14:textFill>
                    </w:rPr>
                    <w:t>安装隔声罩、减振垫</w:t>
                  </w:r>
                </w:p>
              </w:tc>
            </w:tr>
          </w:tbl>
          <w:p>
            <w:pPr>
              <w:numPr>
                <w:ilvl w:val="0"/>
                <w:numId w:val="0"/>
              </w:num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4、固废</w:t>
            </w:r>
          </w:p>
          <w:p>
            <w:pPr>
              <w:numPr>
                <w:ilvl w:val="0"/>
                <w:numId w:val="0"/>
              </w:num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本项目产品生产过程中产生的固体废弃物有废采样瓶、废玻璃瓶、废包装材料、废活性炭（纯水制备产生）、废RO膜、生活垃圾、废化学试剂瓶、实验废液、废检测耗材、清洗废液、废活性炭。</w:t>
            </w:r>
          </w:p>
          <w:p>
            <w:pPr>
              <w:pStyle w:val="2"/>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表3-4  固废来源及处理方式一览表</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5"/>
              <w:gridCol w:w="1288"/>
              <w:gridCol w:w="1031"/>
              <w:gridCol w:w="1345"/>
              <w:gridCol w:w="570"/>
              <w:gridCol w:w="1120"/>
              <w:gridCol w:w="924"/>
              <w:gridCol w:w="765"/>
              <w:gridCol w:w="74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rPr>
                    <w:t>序号</w:t>
                  </w:r>
                </w:p>
              </w:tc>
              <w:tc>
                <w:tcPr>
                  <w:tcW w:w="775" w:type="pct"/>
                  <w:tcMar>
                    <w:left w:w="0" w:type="dxa"/>
                    <w:right w:w="0" w:type="dxa"/>
                  </w:tcMar>
                  <w:vAlign w:val="center"/>
                </w:tcPr>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rPr>
                    <w:t>固废名称</w:t>
                  </w:r>
                </w:p>
              </w:tc>
              <w:tc>
                <w:tcPr>
                  <w:tcW w:w="620" w:type="pct"/>
                  <w:tcMar>
                    <w:left w:w="0" w:type="dxa"/>
                    <w:right w:w="0" w:type="dxa"/>
                  </w:tcMar>
                  <w:vAlign w:val="center"/>
                </w:tcPr>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rPr>
                    <w:t>产生工序</w:t>
                  </w:r>
                </w:p>
              </w:tc>
              <w:tc>
                <w:tcPr>
                  <w:tcW w:w="809" w:type="pct"/>
                  <w:tcMar>
                    <w:left w:w="0" w:type="dxa"/>
                    <w:right w:w="0" w:type="dxa"/>
                  </w:tcMar>
                  <w:vAlign w:val="center"/>
                </w:tcPr>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rPr>
                    <w:t>属性（危险废物、一般工业固体废物或待鉴别）</w:t>
                  </w:r>
                </w:p>
              </w:tc>
              <w:tc>
                <w:tcPr>
                  <w:tcW w:w="343" w:type="pct"/>
                  <w:tcMar>
                    <w:left w:w="0" w:type="dxa"/>
                    <w:right w:w="0" w:type="dxa"/>
                  </w:tcMar>
                  <w:vAlign w:val="center"/>
                </w:tcPr>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rPr>
                    <w:t>废物类别</w:t>
                  </w:r>
                </w:p>
              </w:tc>
              <w:tc>
                <w:tcPr>
                  <w:tcW w:w="674" w:type="pct"/>
                  <w:tcMar>
                    <w:left w:w="0" w:type="dxa"/>
                    <w:right w:w="0" w:type="dxa"/>
                  </w:tcMar>
                  <w:vAlign w:val="center"/>
                </w:tcPr>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rPr>
                    <w:t>废物代码</w:t>
                  </w:r>
                </w:p>
              </w:tc>
              <w:tc>
                <w:tcPr>
                  <w:tcW w:w="556" w:type="pct"/>
                  <w:tcMar>
                    <w:left w:w="0" w:type="dxa"/>
                    <w:right w:w="0" w:type="dxa"/>
                  </w:tcMar>
                  <w:vAlign w:val="center"/>
                </w:tcPr>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highlight w:val="none"/>
                    </w:rPr>
                    <w:t>产生量</w:t>
                  </w:r>
                  <w:r>
                    <w:rPr>
                      <w:rFonts w:hint="default" w:ascii="Times New Roman" w:hAnsi="Times New Roman" w:cs="Times New Roman"/>
                      <w:b/>
                      <w:bCs/>
                      <w:sz w:val="21"/>
                      <w:szCs w:val="21"/>
                    </w:rPr>
                    <w:t>（t/a）</w:t>
                  </w:r>
                </w:p>
              </w:tc>
              <w:tc>
                <w:tcPr>
                  <w:tcW w:w="460" w:type="pct"/>
                  <w:tcMar>
                    <w:left w:w="0" w:type="dxa"/>
                    <w:right w:w="0" w:type="dxa"/>
                  </w:tcMar>
                  <w:vAlign w:val="center"/>
                </w:tcPr>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rPr>
                    <w:t>利用处置方式</w:t>
                  </w:r>
                </w:p>
              </w:tc>
              <w:tc>
                <w:tcPr>
                  <w:tcW w:w="450" w:type="pct"/>
                  <w:tcMar>
                    <w:left w:w="0" w:type="dxa"/>
                    <w:right w:w="0" w:type="dxa"/>
                  </w:tcMar>
                  <w:vAlign w:val="center"/>
                </w:tcPr>
                <w:p>
                  <w:pPr>
                    <w:jc w:val="center"/>
                    <w:rPr>
                      <w:rFonts w:hint="default" w:ascii="Times New Roman" w:hAnsi="Times New Roman" w:cs="Times New Roman"/>
                      <w:b/>
                      <w:bCs/>
                      <w:sz w:val="21"/>
                      <w:szCs w:val="21"/>
                    </w:rPr>
                  </w:pPr>
                  <w:r>
                    <w:rPr>
                      <w:rFonts w:hint="default" w:ascii="Times New Roman" w:hAnsi="Times New Roman" w:cs="Times New Roman"/>
                      <w:b/>
                      <w:bCs/>
                      <w:sz w:val="21"/>
                      <w:szCs w:val="21"/>
                    </w:rPr>
                    <w:t>利用处置单位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废采样瓶</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采样</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一般固废</w:t>
                  </w:r>
                </w:p>
              </w:tc>
              <w:tc>
                <w:tcPr>
                  <w:tcW w:w="343" w:type="pct"/>
                  <w:tcMar>
                    <w:left w:w="0" w:type="dxa"/>
                    <w:right w:w="0" w:type="dxa"/>
                  </w:tcMar>
                  <w:vAlign w:val="center"/>
                </w:tcPr>
                <w:p>
                  <w:pPr>
                    <w:adjustRightInd w:val="0"/>
                    <w:snapToGrid w:val="0"/>
                    <w:jc w:val="center"/>
                    <w:rPr>
                      <w:rFonts w:hint="default" w:ascii="Times New Roman" w:hAnsi="Times New Roman" w:cs="Times New Roman"/>
                      <w:kern w:val="0"/>
                      <w:sz w:val="21"/>
                      <w:szCs w:val="21"/>
                    </w:rPr>
                  </w:pPr>
                  <w:r>
                    <w:rPr>
                      <w:rFonts w:hint="default" w:ascii="Times New Roman" w:hAnsi="Times New Roman" w:cs="Times New Roman"/>
                      <w:sz w:val="21"/>
                      <w:szCs w:val="21"/>
                    </w:rPr>
                    <w:t>08</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300-001-08</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0.05</w:t>
                  </w:r>
                </w:p>
              </w:tc>
              <w:tc>
                <w:tcPr>
                  <w:tcW w:w="460" w:type="pct"/>
                  <w:vMerge w:val="restar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收集外卖</w:t>
                  </w:r>
                </w:p>
              </w:tc>
              <w:tc>
                <w:tcPr>
                  <w:tcW w:w="450" w:type="pct"/>
                  <w:vMerge w:val="restar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废玻璃瓶</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清洁</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一般固废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08</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300-001-08</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0.1</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废包装材料</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样品前处理</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一般固废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07</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422-001-07</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0.01</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废RO膜</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纯水制备</w:t>
                  </w:r>
                </w:p>
              </w:tc>
              <w:tc>
                <w:tcPr>
                  <w:tcW w:w="809" w:type="pct"/>
                  <w:tcMar>
                    <w:left w:w="0" w:type="dxa"/>
                    <w:right w:w="0" w:type="dxa"/>
                  </w:tcMar>
                  <w:vAlign w:val="center"/>
                </w:tcPr>
                <w:p>
                  <w:pPr>
                    <w:jc w:val="center"/>
                    <w:rPr>
                      <w:rFonts w:hint="default" w:ascii="Times New Roman" w:hAnsi="Times New Roman" w:cs="Times New Roman"/>
                      <w:sz w:val="21"/>
                      <w:szCs w:val="21"/>
                    </w:rPr>
                  </w:pPr>
                  <w:bookmarkStart w:id="107" w:name="_GoBack"/>
                  <w:bookmarkEnd w:id="107"/>
                  <w:r>
                    <w:rPr>
                      <w:rFonts w:hint="default" w:ascii="Times New Roman" w:hAnsi="Times New Roman" w:cs="Times New Roman"/>
                      <w:sz w:val="21"/>
                      <w:szCs w:val="21"/>
                    </w:rPr>
                    <w:t>一般固废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99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900-999-99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0.001</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废土壤</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分析检测</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一般固废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900-999-99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1.3</w:t>
                  </w:r>
                </w:p>
              </w:tc>
              <w:tc>
                <w:tcPr>
                  <w:tcW w:w="46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环卫清运</w:t>
                  </w:r>
                </w:p>
              </w:tc>
              <w:tc>
                <w:tcPr>
                  <w:tcW w:w="45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环卫部门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废化学试剂瓶</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样品前处理</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危险固废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HW49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900-041-49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0.15</w:t>
                  </w:r>
                </w:p>
              </w:tc>
              <w:tc>
                <w:tcPr>
                  <w:tcW w:w="460" w:type="pct"/>
                  <w:vMerge w:val="restar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委托处置</w:t>
                  </w:r>
                </w:p>
              </w:tc>
              <w:tc>
                <w:tcPr>
                  <w:tcW w:w="450" w:type="pct"/>
                  <w:vMerge w:val="restar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有资质单位处理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775" w:type="pct"/>
                  <w:tcMar>
                    <w:left w:w="0" w:type="dxa"/>
                    <w:right w:w="0" w:type="dxa"/>
                  </w:tcMar>
                  <w:vAlign w:val="center"/>
                </w:tcPr>
                <w:p>
                  <w:pPr>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实验废液</w:t>
                  </w:r>
                </w:p>
              </w:tc>
              <w:tc>
                <w:tcPr>
                  <w:tcW w:w="620" w:type="pct"/>
                  <w:tcMar>
                    <w:left w:w="0" w:type="dxa"/>
                    <w:right w:w="0" w:type="dxa"/>
                  </w:tcMar>
                  <w:vAlign w:val="center"/>
                </w:tcPr>
                <w:p>
                  <w:pPr>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分析检测</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危险固废</w:t>
                  </w:r>
                </w:p>
              </w:tc>
              <w:tc>
                <w:tcPr>
                  <w:tcW w:w="343" w:type="pct"/>
                  <w:tcMar>
                    <w:left w:w="0" w:type="dxa"/>
                    <w:right w:w="0" w:type="dxa"/>
                  </w:tcMar>
                  <w:vAlign w:val="center"/>
                </w:tcPr>
                <w:p>
                  <w:pPr>
                    <w:adjustRightInd w:val="0"/>
                    <w:snapToGrid w:val="0"/>
                    <w:jc w:val="center"/>
                    <w:rPr>
                      <w:rFonts w:hint="default" w:ascii="Times New Roman" w:hAnsi="Times New Roman" w:cs="Times New Roman"/>
                      <w:kern w:val="0"/>
                      <w:sz w:val="21"/>
                      <w:szCs w:val="21"/>
                    </w:rPr>
                  </w:pPr>
                  <w:r>
                    <w:rPr>
                      <w:rFonts w:hint="default" w:ascii="Times New Roman" w:hAnsi="Times New Roman" w:cs="Times New Roman" w:eastAsiaTheme="minorEastAsia"/>
                      <w:sz w:val="21"/>
                      <w:szCs w:val="21"/>
                    </w:rPr>
                    <w:t>HW49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900-047-49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1.12</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8</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清洗废液</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仪器清洗</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危险固废</w:t>
                  </w:r>
                </w:p>
              </w:tc>
              <w:tc>
                <w:tcPr>
                  <w:tcW w:w="343" w:type="pct"/>
                  <w:tcMar>
                    <w:left w:w="0" w:type="dxa"/>
                    <w:right w:w="0" w:type="dxa"/>
                  </w:tcMar>
                  <w:vAlign w:val="center"/>
                </w:tcPr>
                <w:p>
                  <w:pPr>
                    <w:adjustRightInd w:val="0"/>
                    <w:snapToGrid w:val="0"/>
                    <w:jc w:val="center"/>
                    <w:rPr>
                      <w:rFonts w:hint="default" w:ascii="Times New Roman" w:hAnsi="Times New Roman" w:cs="Times New Roman"/>
                      <w:kern w:val="0"/>
                      <w:sz w:val="21"/>
                      <w:szCs w:val="21"/>
                    </w:rPr>
                  </w:pPr>
                  <w:r>
                    <w:rPr>
                      <w:rFonts w:hint="default" w:ascii="Times New Roman" w:hAnsi="Times New Roman" w:cs="Times New Roman" w:eastAsiaTheme="minorEastAsia"/>
                      <w:sz w:val="21"/>
                      <w:szCs w:val="21"/>
                    </w:rPr>
                    <w:t>HW49</w:t>
                  </w:r>
                </w:p>
              </w:tc>
              <w:tc>
                <w:tcPr>
                  <w:tcW w:w="674" w:type="pct"/>
                  <w:tcMar>
                    <w:left w:w="0" w:type="dxa"/>
                    <w:right w:w="0" w:type="dxa"/>
                  </w:tcMar>
                  <w:vAlign w:val="center"/>
                </w:tcPr>
                <w:p>
                  <w:pPr>
                    <w:adjustRightInd w:val="0"/>
                    <w:snapToGrid w:val="0"/>
                    <w:jc w:val="center"/>
                    <w:rPr>
                      <w:rFonts w:hint="default" w:ascii="Times New Roman" w:hAnsi="Times New Roman" w:cs="Times New Roman"/>
                      <w:kern w:val="0"/>
                      <w:sz w:val="21"/>
                      <w:szCs w:val="21"/>
                    </w:rPr>
                  </w:pPr>
                  <w:r>
                    <w:rPr>
                      <w:rFonts w:hint="default" w:ascii="Times New Roman" w:hAnsi="Times New Roman" w:cs="Times New Roman" w:eastAsiaTheme="minorEastAsia"/>
                      <w:sz w:val="21"/>
                      <w:szCs w:val="21"/>
                    </w:rPr>
                    <w:t>900-047-49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sz w:val="21"/>
                      <w:szCs w:val="21"/>
                      <w:highlight w:val="none"/>
                      <w:lang w:val="en-US" w:eastAsia="zh-CN"/>
                    </w:rPr>
                    <w:t>3</w:t>
                  </w:r>
                  <w:r>
                    <w:rPr>
                      <w:rFonts w:hint="default" w:ascii="Times New Roman" w:hAnsi="Times New Roman" w:cs="Times New Roman"/>
                      <w:sz w:val="21"/>
                      <w:szCs w:val="21"/>
                      <w:highlight w:val="none"/>
                    </w:rPr>
                    <w:t>.85</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废检测耗材</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分析检测</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危险固废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HW49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900-041-49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0.05</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废活性炭</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活性炭吸附</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危险固废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color w:val="000000" w:themeColor="text1"/>
                      <w:sz w:val="21"/>
                      <w:szCs w:val="21"/>
                      <w14:textFill>
                        <w14:solidFill>
                          <w14:schemeClr w14:val="tx1"/>
                        </w14:solidFill>
                      </w14:textFill>
                    </w:rPr>
                    <w:t>HW49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color w:val="000000" w:themeColor="text1"/>
                      <w:sz w:val="21"/>
                      <w:szCs w:val="21"/>
                      <w14:textFill>
                        <w14:solidFill>
                          <w14:schemeClr w14:val="tx1"/>
                        </w14:solidFill>
                      </w14:textFill>
                    </w:rPr>
                    <w:t>900-039-49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color w:val="000000"/>
                      <w:sz w:val="21"/>
                      <w:szCs w:val="21"/>
                      <w:highlight w:val="none"/>
                      <w:lang w:val="en-US" w:eastAsia="zh-CN"/>
                    </w:rPr>
                    <w:t>0.001</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11</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污水站污泥</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污水站</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危险固废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color w:val="000000" w:themeColor="text1"/>
                      <w:sz w:val="21"/>
                      <w:szCs w:val="21"/>
                      <w14:textFill>
                        <w14:solidFill>
                          <w14:schemeClr w14:val="tx1"/>
                        </w14:solidFill>
                      </w14:textFill>
                    </w:rPr>
                    <w:t>HW49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color w:val="000000" w:themeColor="text1"/>
                      <w:sz w:val="21"/>
                      <w:szCs w:val="21"/>
                      <w14:textFill>
                        <w14:solidFill>
                          <w14:schemeClr w14:val="tx1"/>
                        </w14:solidFill>
                      </w14:textFill>
                    </w:rPr>
                    <w:t>900-041-49</w:t>
                  </w:r>
                </w:p>
              </w:tc>
              <w:tc>
                <w:tcPr>
                  <w:tcW w:w="556" w:type="pct"/>
                  <w:tcMar>
                    <w:left w:w="0" w:type="dxa"/>
                    <w:right w:w="0" w:type="dxa"/>
                  </w:tcMar>
                  <w:vAlign w:val="center"/>
                </w:tcPr>
                <w:p>
                  <w:pPr>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color w:val="000000"/>
                      <w:sz w:val="21"/>
                      <w:szCs w:val="21"/>
                    </w:rPr>
                    <w:t>0.647</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12</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实验室多余废水样品</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分析检测</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危险固废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HW49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eastAsiaTheme="minorEastAsia"/>
                      <w:sz w:val="21"/>
                      <w:szCs w:val="21"/>
                    </w:rPr>
                    <w:t>900-047-49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0.6</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13</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实验室过期药品</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药品储存</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危险固废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HW49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900-047-49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rPr>
                    <w:t>0.002</w:t>
                  </w:r>
                </w:p>
              </w:tc>
              <w:tc>
                <w:tcPr>
                  <w:tcW w:w="460" w:type="pct"/>
                  <w:vMerge w:val="continue"/>
                  <w:tcMar>
                    <w:left w:w="0" w:type="dxa"/>
                    <w:right w:w="0" w:type="dxa"/>
                  </w:tcMar>
                  <w:vAlign w:val="center"/>
                </w:tcPr>
                <w:p>
                  <w:pPr>
                    <w:jc w:val="center"/>
                    <w:rPr>
                      <w:rFonts w:hint="default" w:ascii="Times New Roman" w:hAnsi="Times New Roman" w:cs="Times New Roman"/>
                      <w:sz w:val="21"/>
                      <w:szCs w:val="21"/>
                    </w:rPr>
                  </w:pPr>
                </w:p>
              </w:tc>
              <w:tc>
                <w:tcPr>
                  <w:tcW w:w="450" w:type="pct"/>
                  <w:vMerge w:val="continue"/>
                  <w:tcMar>
                    <w:left w:w="0" w:type="dxa"/>
                    <w:right w:w="0" w:type="dxa"/>
                  </w:tcMar>
                  <w:vAlign w:val="center"/>
                </w:tcPr>
                <w:p>
                  <w:pPr>
                    <w:jc w:val="center"/>
                    <w:rPr>
                      <w:rFonts w:hint="default" w:ascii="Times New Roman" w:hAnsi="Times New Roman"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1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14</w:t>
                  </w:r>
                </w:p>
              </w:tc>
              <w:tc>
                <w:tcPr>
                  <w:tcW w:w="775"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生活垃圾</w:t>
                  </w:r>
                </w:p>
              </w:tc>
              <w:tc>
                <w:tcPr>
                  <w:tcW w:w="62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办公、生活</w:t>
                  </w:r>
                </w:p>
              </w:tc>
              <w:tc>
                <w:tcPr>
                  <w:tcW w:w="809"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一般固废</w:t>
                  </w:r>
                </w:p>
              </w:tc>
              <w:tc>
                <w:tcPr>
                  <w:tcW w:w="343"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99</w:t>
                  </w:r>
                </w:p>
              </w:tc>
              <w:tc>
                <w:tcPr>
                  <w:tcW w:w="674"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900-999-99</w:t>
                  </w:r>
                </w:p>
              </w:tc>
              <w:tc>
                <w:tcPr>
                  <w:tcW w:w="556" w:type="pct"/>
                  <w:tcMar>
                    <w:left w:w="0" w:type="dxa"/>
                    <w:right w:w="0" w:type="dxa"/>
                  </w:tcMar>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shd w:val="clear"/>
                    </w:rPr>
                    <w:t>3.75</w:t>
                  </w:r>
                </w:p>
              </w:tc>
              <w:tc>
                <w:tcPr>
                  <w:tcW w:w="46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环卫清运</w:t>
                  </w:r>
                </w:p>
              </w:tc>
              <w:tc>
                <w:tcPr>
                  <w:tcW w:w="450" w:type="pct"/>
                  <w:tcMar>
                    <w:left w:w="0" w:type="dxa"/>
                    <w:right w:w="0" w:type="dxa"/>
                  </w:tcMar>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环卫部门</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cstheme="minorBidi"/>
                <w:kern w:val="2"/>
                <w:sz w:val="21"/>
                <w:szCs w:val="24"/>
                <w:lang w:val="en-US" w:eastAsia="zh-CN" w:bidi="ar-SA"/>
              </w:rPr>
            </w:pPr>
            <w:r>
              <w:rPr>
                <w:rFonts w:hint="eastAsia" w:ascii="Times New Roman" w:hAnsi="Times New Roman" w:eastAsia="宋体" w:cs="Times New Roman"/>
                <w:sz w:val="24"/>
                <w:szCs w:val="24"/>
                <w:lang w:val="en-US" w:eastAsia="zh-CN"/>
              </w:rPr>
              <w:t>危废仓库现状及排污口图情况详见表</w:t>
            </w:r>
            <w:r>
              <w:rPr>
                <w:rFonts w:hint="default" w:ascii="Times New Roman" w:hAnsi="Times New Roman" w:eastAsia="宋体" w:cs="Times New Roman"/>
                <w:sz w:val="24"/>
                <w:szCs w:val="24"/>
                <w:lang w:val="en-US" w:eastAsia="zh-CN"/>
              </w:rPr>
              <w:t>3-5</w:t>
            </w:r>
            <w:r>
              <w:rPr>
                <w:rFonts w:hint="eastAsia" w:ascii="Times New Roman" w:hAnsi="Times New Roman" w:eastAsia="宋体" w:cs="Times New Roman"/>
                <w:sz w:val="24"/>
                <w:szCs w:val="24"/>
                <w:lang w:val="en-US" w:eastAsia="zh-CN"/>
              </w:rPr>
              <w:t>。</w:t>
            </w:r>
          </w:p>
          <w:p>
            <w:pPr>
              <w:pStyle w:val="2"/>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表3-5  危废仓库现状</w:t>
            </w:r>
          </w:p>
          <w:tbl>
            <w:tblPr>
              <w:tblStyle w:val="21"/>
              <w:tblW w:w="0" w:type="auto"/>
              <w:tblInd w:w="5"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2194"/>
              <w:gridCol w:w="541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2194"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名称</w:t>
                  </w:r>
                </w:p>
              </w:tc>
              <w:tc>
                <w:tcPr>
                  <w:tcW w:w="541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照片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2194"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危废仓库</w:t>
                  </w:r>
                </w:p>
              </w:tc>
              <w:tc>
                <w:tcPr>
                  <w:tcW w:w="541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drawing>
                      <wp:inline distT="0" distB="0" distL="114300" distR="114300">
                        <wp:extent cx="3277235" cy="2458085"/>
                        <wp:effectExtent l="0" t="0" r="18415" b="18415"/>
                        <wp:docPr id="3" name="图片 3" descr="微信图片_2024011213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40112132917"/>
                                <pic:cNvPicPr>
                                  <a:picLocks noChangeAspect="1"/>
                                </pic:cNvPicPr>
                              </pic:nvPicPr>
                              <pic:blipFill>
                                <a:blip r:embed="rId15"/>
                                <a:stretch>
                                  <a:fillRect/>
                                </a:stretch>
                              </pic:blipFill>
                              <pic:spPr>
                                <a:xfrm rot="5400000">
                                  <a:off x="0" y="0"/>
                                  <a:ext cx="3277235" cy="2458085"/>
                                </a:xfrm>
                                <a:prstGeom prst="rect">
                                  <a:avLst/>
                                </a:prstGeom>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c>
                <w:tcPr>
                  <w:tcW w:w="2194"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项目危废信息公开栏</w:t>
                  </w:r>
                </w:p>
              </w:tc>
              <w:tc>
                <w:tcPr>
                  <w:tcW w:w="541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drawing>
                      <wp:inline distT="0" distB="0" distL="114300" distR="114300">
                        <wp:extent cx="3277235" cy="2458085"/>
                        <wp:effectExtent l="0" t="0" r="18415" b="18415"/>
                        <wp:docPr id="4" name="图片 4" descr="微信图片_2024011213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40112132905"/>
                                <pic:cNvPicPr>
                                  <a:picLocks noChangeAspect="1"/>
                                </pic:cNvPicPr>
                              </pic:nvPicPr>
                              <pic:blipFill>
                                <a:blip r:embed="rId16"/>
                                <a:stretch>
                                  <a:fillRect/>
                                </a:stretch>
                              </pic:blipFill>
                              <pic:spPr>
                                <a:xfrm>
                                  <a:off x="0" y="0"/>
                                  <a:ext cx="3277235" cy="2458085"/>
                                </a:xfrm>
                                <a:prstGeom prst="rect">
                                  <a:avLst/>
                                </a:prstGeom>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w:t>
                  </w:r>
                </w:p>
              </w:tc>
              <w:tc>
                <w:tcPr>
                  <w:tcW w:w="2194"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分区</w:t>
                  </w:r>
                  <w:r>
                    <w:rPr>
                      <w:rFonts w:hint="default" w:ascii="Times New Roman" w:hAnsi="Times New Roman" w:eastAsia="宋体" w:cs="Times New Roman"/>
                      <w:sz w:val="21"/>
                      <w:szCs w:val="21"/>
                      <w:lang w:val="en-US" w:eastAsia="zh-CN"/>
                    </w:rPr>
                    <w:t>标志牌</w:t>
                  </w:r>
                </w:p>
              </w:tc>
              <w:tc>
                <w:tcPr>
                  <w:tcW w:w="541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drawing>
                      <wp:inline distT="0" distB="0" distL="114300" distR="114300">
                        <wp:extent cx="3277235" cy="2458085"/>
                        <wp:effectExtent l="0" t="0" r="18415" b="18415"/>
                        <wp:docPr id="7" name="图片 7" descr="微信图片_20240112134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40112134937"/>
                                <pic:cNvPicPr>
                                  <a:picLocks noChangeAspect="1"/>
                                </pic:cNvPicPr>
                              </pic:nvPicPr>
                              <pic:blipFill>
                                <a:blip r:embed="rId17"/>
                                <a:stretch>
                                  <a:fillRect/>
                                </a:stretch>
                              </pic:blipFill>
                              <pic:spPr>
                                <a:xfrm rot="5400000">
                                  <a:off x="0" y="0"/>
                                  <a:ext cx="3277235" cy="2458085"/>
                                </a:xfrm>
                                <a:prstGeom prst="rect">
                                  <a:avLst/>
                                </a:prstGeom>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p>
              </w:tc>
              <w:tc>
                <w:tcPr>
                  <w:tcW w:w="2194"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台账记录</w:t>
                  </w:r>
                </w:p>
              </w:tc>
              <w:tc>
                <w:tcPr>
                  <w:tcW w:w="541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drawing>
                      <wp:inline distT="0" distB="0" distL="114300" distR="114300">
                        <wp:extent cx="3277235" cy="2458085"/>
                        <wp:effectExtent l="0" t="0" r="18415" b="18415"/>
                        <wp:docPr id="6" name="图片 6" descr="微信图片_20240112134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40112134945"/>
                                <pic:cNvPicPr>
                                  <a:picLocks noChangeAspect="1"/>
                                </pic:cNvPicPr>
                              </pic:nvPicPr>
                              <pic:blipFill>
                                <a:blip r:embed="rId18"/>
                                <a:stretch>
                                  <a:fillRect/>
                                </a:stretch>
                              </pic:blipFill>
                              <pic:spPr>
                                <a:xfrm rot="5400000">
                                  <a:off x="0" y="0"/>
                                  <a:ext cx="3277235" cy="2458085"/>
                                </a:xfrm>
                                <a:prstGeom prst="rect">
                                  <a:avLst/>
                                </a:prstGeom>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w:t>
                  </w:r>
                </w:p>
              </w:tc>
              <w:tc>
                <w:tcPr>
                  <w:tcW w:w="2194"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危废仓库</w:t>
                  </w:r>
                  <w:r>
                    <w:rPr>
                      <w:rFonts w:hint="default" w:ascii="Times New Roman" w:hAnsi="Times New Roman" w:eastAsia="宋体" w:cs="Times New Roman"/>
                      <w:sz w:val="21"/>
                      <w:szCs w:val="21"/>
                      <w:lang w:val="en-US" w:eastAsia="zh-CN"/>
                    </w:rPr>
                    <w:t>地面</w:t>
                  </w:r>
                </w:p>
              </w:tc>
              <w:tc>
                <w:tcPr>
                  <w:tcW w:w="541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drawing>
                      <wp:inline distT="0" distB="0" distL="114300" distR="114300">
                        <wp:extent cx="3277235" cy="2458085"/>
                        <wp:effectExtent l="0" t="0" r="18415" b="18415"/>
                        <wp:docPr id="11" name="图片 11" descr="微信图片_2024011213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微信图片_20240112132921"/>
                                <pic:cNvPicPr>
                                  <a:picLocks noChangeAspect="1"/>
                                </pic:cNvPicPr>
                              </pic:nvPicPr>
                              <pic:blipFill>
                                <a:blip r:embed="rId19"/>
                                <a:stretch>
                                  <a:fillRect/>
                                </a:stretch>
                              </pic:blipFill>
                              <pic:spPr>
                                <a:xfrm>
                                  <a:off x="0" y="0"/>
                                  <a:ext cx="3277235" cy="2458085"/>
                                </a:xfrm>
                                <a:prstGeom prst="rect">
                                  <a:avLst/>
                                </a:prstGeom>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9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w:t>
                  </w:r>
                </w:p>
              </w:tc>
              <w:tc>
                <w:tcPr>
                  <w:tcW w:w="2194"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贮存情况</w:t>
                  </w:r>
                </w:p>
              </w:tc>
              <w:tc>
                <w:tcPr>
                  <w:tcW w:w="5411" w:type="dxa"/>
                  <w:tcBorders>
                    <w:tl2br w:val="nil"/>
                    <w:tr2bl w:val="nil"/>
                  </w:tcBorders>
                  <w:vAlign w:val="center"/>
                </w:tcPr>
                <w:p>
                  <w:pPr>
                    <w:pStyle w:val="9"/>
                    <w:keepNext w:val="0"/>
                    <w:keepLines w:val="0"/>
                    <w:pageBreakBefore w:val="0"/>
                    <w:widowControl/>
                    <w:kinsoku/>
                    <w:wordWrap/>
                    <w:overflowPunct/>
                    <w:topLinePunct w:val="0"/>
                    <w:autoSpaceDE/>
                    <w:autoSpaceDN/>
                    <w:bidi w:val="0"/>
                    <w:adjustRightInd/>
                    <w:snapToGrid w:val="0"/>
                    <w:spacing w:before="0" w:after="0" w:line="240" w:lineRule="auto"/>
                    <w:ind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drawing>
                      <wp:inline distT="0" distB="0" distL="114300" distR="114300">
                        <wp:extent cx="3277235" cy="2458085"/>
                        <wp:effectExtent l="0" t="0" r="18415" b="18415"/>
                        <wp:docPr id="9" name="图片 9" descr="微信图片_20240112134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微信图片_20240112134953"/>
                                <pic:cNvPicPr>
                                  <a:picLocks noChangeAspect="1"/>
                                </pic:cNvPicPr>
                              </pic:nvPicPr>
                              <pic:blipFill>
                                <a:blip r:embed="rId20"/>
                                <a:stretch>
                                  <a:fillRect/>
                                </a:stretch>
                              </pic:blipFill>
                              <pic:spPr>
                                <a:xfrm>
                                  <a:off x="0" y="0"/>
                                  <a:ext cx="3277235" cy="2458085"/>
                                </a:xfrm>
                                <a:prstGeom prst="rect">
                                  <a:avLst/>
                                </a:prstGeom>
                              </pic:spPr>
                            </pic:pic>
                          </a:graphicData>
                        </a:graphic>
                      </wp:inline>
                    </w:drawing>
                  </w:r>
                  <w:r>
                    <w:rPr>
                      <w:rFonts w:hint="default" w:ascii="Times New Roman" w:hAnsi="Times New Roman" w:eastAsia="宋体" w:cs="Times New Roman"/>
                      <w:sz w:val="21"/>
                      <w:szCs w:val="21"/>
                      <w:lang w:val="en-US" w:eastAsia="zh-CN"/>
                    </w:rPr>
                    <w:drawing>
                      <wp:inline distT="0" distB="0" distL="114300" distR="114300">
                        <wp:extent cx="3277235" cy="2458085"/>
                        <wp:effectExtent l="0" t="0" r="18415" b="18415"/>
                        <wp:docPr id="10" name="图片 10" descr="微信图片_2024011213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_20240112132924"/>
                                <pic:cNvPicPr>
                                  <a:picLocks noChangeAspect="1"/>
                                </pic:cNvPicPr>
                              </pic:nvPicPr>
                              <pic:blipFill>
                                <a:blip r:embed="rId21"/>
                                <a:stretch>
                                  <a:fillRect/>
                                </a:stretch>
                              </pic:blipFill>
                              <pic:spPr>
                                <a:xfrm rot="5400000">
                                  <a:off x="0" y="0"/>
                                  <a:ext cx="3277235" cy="2458085"/>
                                </a:xfrm>
                                <a:prstGeom prst="rect">
                                  <a:avLst/>
                                </a:prstGeom>
                              </pic:spPr>
                            </pic:pic>
                          </a:graphicData>
                        </a:graphic>
                      </wp:inline>
                    </w:drawing>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default" w:asciiTheme="minorHAnsi" w:hAnsiTheme="minorHAnsi" w:eastAsiaTheme="minorEastAsia" w:cstheme="minorBidi"/>
                <w:kern w:val="2"/>
                <w:sz w:val="21"/>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default"/>
                <w:lang w:val="en-US" w:eastAsia="zh-CN"/>
              </w:rPr>
            </w:pPr>
            <w:r>
              <w:rPr>
                <w:rFonts w:hint="default" w:asciiTheme="minorHAnsi" w:hAnsiTheme="minorHAnsi" w:eastAsiaTheme="minorEastAsia" w:cstheme="minorBidi"/>
                <w:kern w:val="2"/>
                <w:sz w:val="21"/>
                <w:szCs w:val="24"/>
                <w:lang w:val="en-US" w:eastAsia="zh-CN" w:bidi="ar-SA"/>
              </w:rPr>
              <w:t>5、</w:t>
            </w:r>
            <w:r>
              <w:rPr>
                <w:rFonts w:hint="eastAsia" w:ascii="Times New Roman" w:hAnsi="Times New Roman" w:eastAsia="宋体" w:cs="Times New Roman"/>
                <w:sz w:val="24"/>
                <w:szCs w:val="24"/>
                <w:lang w:val="en-US" w:eastAsia="zh-CN"/>
              </w:rPr>
              <w:t>环境监测计划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①大气污染源监测</w:t>
            </w:r>
          </w:p>
          <w:p>
            <w:pPr>
              <w:pStyle w:val="10"/>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eastAsia="宋体"/>
                <w:color w:val="000000"/>
                <w:sz w:val="24"/>
                <w:szCs w:val="32"/>
              </w:rPr>
            </w:pPr>
            <w:r>
              <w:rPr>
                <w:rFonts w:eastAsia="宋体"/>
                <w:color w:val="000000"/>
                <w:sz w:val="24"/>
                <w:szCs w:val="32"/>
              </w:rPr>
              <w:t>根据废气污染物排放情况，监测计划如下。</w:t>
            </w:r>
          </w:p>
          <w:p>
            <w:pPr>
              <w:pStyle w:val="10"/>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422" w:firstLineChars="200"/>
              <w:jc w:val="center"/>
              <w:textAlignment w:val="auto"/>
              <w:rPr>
                <w:rFonts w:hint="default" w:ascii="Times New Roman" w:hAnsi="Times New Roman" w:eastAsia="宋体" w:cs="Times New Roman"/>
                <w:b/>
                <w:bCs/>
                <w:color w:val="000000"/>
                <w:sz w:val="21"/>
                <w:szCs w:val="24"/>
              </w:rPr>
            </w:pPr>
            <w:r>
              <w:rPr>
                <w:rFonts w:hint="default" w:ascii="Times New Roman" w:hAnsi="Times New Roman" w:eastAsia="宋体" w:cs="Times New Roman"/>
                <w:b/>
                <w:bCs/>
                <w:color w:val="000000"/>
                <w:sz w:val="21"/>
                <w:szCs w:val="24"/>
                <w:lang w:val="en-US" w:eastAsia="zh-CN"/>
              </w:rPr>
              <w:t xml:space="preserve">表3-5  </w:t>
            </w:r>
            <w:r>
              <w:rPr>
                <w:rFonts w:hint="default" w:ascii="Times New Roman" w:hAnsi="Times New Roman" w:eastAsia="宋体" w:cs="Times New Roman"/>
                <w:b/>
                <w:bCs/>
                <w:color w:val="000000"/>
                <w:sz w:val="21"/>
                <w:szCs w:val="24"/>
              </w:rPr>
              <w:t>本项目大气</w:t>
            </w:r>
            <w:r>
              <w:rPr>
                <w:rFonts w:hint="default" w:ascii="Times New Roman" w:hAnsi="Times New Roman" w:eastAsia="宋体" w:cs="Times New Roman"/>
                <w:b/>
                <w:bCs/>
                <w:color w:val="000000"/>
                <w:sz w:val="21"/>
                <w:szCs w:val="24"/>
                <w:lang w:val="en-US" w:eastAsia="zh-CN"/>
              </w:rPr>
              <w:t>自行</w:t>
            </w:r>
            <w:r>
              <w:rPr>
                <w:rFonts w:hint="default" w:ascii="Times New Roman" w:hAnsi="Times New Roman" w:eastAsia="宋体" w:cs="Times New Roman"/>
                <w:b/>
                <w:bCs/>
                <w:color w:val="000000"/>
                <w:sz w:val="21"/>
                <w:szCs w:val="24"/>
              </w:rPr>
              <w:t>监测计划</w:t>
            </w:r>
          </w:p>
          <w:tbl>
            <w:tblPr>
              <w:tblStyle w:val="20"/>
              <w:tblW w:w="4999"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Layout w:type="autofit"/>
              <w:tblCellMar>
                <w:top w:w="0" w:type="dxa"/>
                <w:left w:w="108" w:type="dxa"/>
                <w:bottom w:w="0" w:type="dxa"/>
                <w:right w:w="108" w:type="dxa"/>
              </w:tblCellMar>
            </w:tblPr>
            <w:tblGrid>
              <w:gridCol w:w="2732"/>
              <w:gridCol w:w="2969"/>
              <w:gridCol w:w="2603"/>
            </w:tblGrid>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5" w:hRule="atLeast"/>
              </w:trPr>
              <w:tc>
                <w:tcPr>
                  <w:tcW w:w="1645" w:type="pct"/>
                  <w:vAlign w:val="center"/>
                </w:tcPr>
                <w:p>
                  <w:pPr>
                    <w:pStyle w:val="38"/>
                    <w:spacing w:line="240" w:lineRule="auto"/>
                    <w:rPr>
                      <w:rFonts w:hint="default" w:ascii="Times New Roman" w:hAnsi="Times New Roman" w:cs="Times New Roman"/>
                      <w:b/>
                      <w:color w:val="000000"/>
                      <w:kern w:val="2"/>
                    </w:rPr>
                  </w:pPr>
                  <w:r>
                    <w:rPr>
                      <w:rFonts w:hint="default" w:ascii="Times New Roman" w:hAnsi="Times New Roman" w:cs="Times New Roman"/>
                      <w:b/>
                      <w:color w:val="000000"/>
                      <w:kern w:val="2"/>
                    </w:rPr>
                    <w:t>监测位置</w:t>
                  </w:r>
                </w:p>
              </w:tc>
              <w:tc>
                <w:tcPr>
                  <w:tcW w:w="1787" w:type="pct"/>
                  <w:vAlign w:val="center"/>
                </w:tcPr>
                <w:p>
                  <w:pPr>
                    <w:pStyle w:val="38"/>
                    <w:spacing w:line="240" w:lineRule="auto"/>
                    <w:rPr>
                      <w:rFonts w:hint="default" w:ascii="Times New Roman" w:hAnsi="Times New Roman" w:cs="Times New Roman"/>
                      <w:b/>
                      <w:color w:val="000000"/>
                      <w:kern w:val="2"/>
                    </w:rPr>
                  </w:pPr>
                  <w:r>
                    <w:rPr>
                      <w:rFonts w:hint="default" w:ascii="Times New Roman" w:hAnsi="Times New Roman" w:cs="Times New Roman"/>
                      <w:b/>
                      <w:color w:val="000000"/>
                      <w:kern w:val="2"/>
                    </w:rPr>
                    <w:t>监测项目</w:t>
                  </w:r>
                </w:p>
              </w:tc>
              <w:tc>
                <w:tcPr>
                  <w:tcW w:w="1567" w:type="pct"/>
                  <w:vAlign w:val="center"/>
                </w:tcPr>
                <w:p>
                  <w:pPr>
                    <w:pStyle w:val="38"/>
                    <w:spacing w:line="240" w:lineRule="auto"/>
                    <w:rPr>
                      <w:rFonts w:hint="default" w:ascii="Times New Roman" w:hAnsi="Times New Roman" w:cs="Times New Roman"/>
                      <w:b/>
                      <w:color w:val="000000"/>
                      <w:kern w:val="2"/>
                    </w:rPr>
                  </w:pPr>
                  <w:r>
                    <w:rPr>
                      <w:rFonts w:hint="default" w:ascii="Times New Roman" w:hAnsi="Times New Roman" w:cs="Times New Roman"/>
                      <w:b/>
                      <w:color w:val="000000"/>
                      <w:kern w:val="2"/>
                    </w:rPr>
                    <w:t>监测频率</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8" w:hRule="atLeast"/>
              </w:trPr>
              <w:tc>
                <w:tcPr>
                  <w:tcW w:w="1645" w:type="pct"/>
                  <w:vAlign w:val="center"/>
                </w:tcPr>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lang w:val="en-US" w:eastAsia="zh-CN"/>
                    </w:rPr>
                    <w:t>DA001</w:t>
                  </w:r>
                  <w:r>
                    <w:rPr>
                      <w:rFonts w:hint="default" w:ascii="Times New Roman" w:hAnsi="Times New Roman" w:cs="Times New Roman"/>
                      <w:color w:val="000000"/>
                      <w:kern w:val="0"/>
                      <w:szCs w:val="21"/>
                    </w:rPr>
                    <w:t>排气筒</w:t>
                  </w:r>
                </w:p>
              </w:tc>
              <w:tc>
                <w:tcPr>
                  <w:tcW w:w="1787" w:type="pct"/>
                  <w:vAlign w:val="center"/>
                </w:tcPr>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氯化氢</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硫酸雾</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氮氧化物</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四氯乙烯</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氯气</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非甲烷总烃</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甲醛</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三氯甲烷</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二硫化碳</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氨</w:t>
                  </w:r>
                </w:p>
              </w:tc>
              <w:tc>
                <w:tcPr>
                  <w:tcW w:w="1567" w:type="pct"/>
                  <w:vAlign w:val="center"/>
                </w:tcPr>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1次/年</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8" w:hRule="atLeast"/>
              </w:trPr>
              <w:tc>
                <w:tcPr>
                  <w:tcW w:w="1645" w:type="pct"/>
                  <w:vAlign w:val="center"/>
                </w:tcPr>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厂界</w:t>
                  </w:r>
                </w:p>
              </w:tc>
              <w:tc>
                <w:tcPr>
                  <w:tcW w:w="1787" w:type="pct"/>
                  <w:vAlign w:val="center"/>
                </w:tcPr>
                <w:p>
                  <w:pPr>
                    <w:spacing w:line="240" w:lineRule="auto"/>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氮氧化物</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非甲烷总烃</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甲醛</w:t>
                  </w:r>
                </w:p>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硫酸雾</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四氯乙烯</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氯化氢</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三氯甲烷</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氯气</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二硫化碳</w:t>
                  </w:r>
                  <w:r>
                    <w:rPr>
                      <w:rFonts w:hint="default" w:ascii="Times New Roman" w:hAnsi="Times New Roman" w:cs="Times New Roman"/>
                      <w:color w:val="000000"/>
                      <w:kern w:val="0"/>
                      <w:szCs w:val="21"/>
                      <w:lang w:eastAsia="zh-CN"/>
                    </w:rPr>
                    <w:t>、</w:t>
                  </w:r>
                  <w:r>
                    <w:rPr>
                      <w:rFonts w:hint="default" w:ascii="Times New Roman" w:hAnsi="Times New Roman" w:cs="Times New Roman"/>
                      <w:color w:val="000000"/>
                      <w:kern w:val="0"/>
                      <w:szCs w:val="21"/>
                    </w:rPr>
                    <w:t>氨</w:t>
                  </w:r>
                </w:p>
              </w:tc>
              <w:tc>
                <w:tcPr>
                  <w:tcW w:w="1567" w:type="pct"/>
                  <w:vAlign w:val="center"/>
                </w:tcPr>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1次/年</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8" w:hRule="atLeast"/>
              </w:trPr>
              <w:tc>
                <w:tcPr>
                  <w:tcW w:w="1645" w:type="pct"/>
                  <w:vAlign w:val="center"/>
                </w:tcPr>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厂房外</w:t>
                  </w:r>
                </w:p>
              </w:tc>
              <w:tc>
                <w:tcPr>
                  <w:tcW w:w="1787" w:type="pct"/>
                  <w:vAlign w:val="center"/>
                </w:tcPr>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2"/>
                      <w:sz w:val="21"/>
                      <w:szCs w:val="21"/>
                      <w:lang w:val="en-US" w:eastAsia="zh-CN" w:bidi="ar-SA"/>
                    </w:rPr>
                    <w:t>非甲烷总烃</w:t>
                  </w:r>
                </w:p>
              </w:tc>
              <w:tc>
                <w:tcPr>
                  <w:tcW w:w="1567" w:type="pct"/>
                  <w:vAlign w:val="center"/>
                </w:tcPr>
                <w:p>
                  <w:pPr>
                    <w:spacing w:line="240" w:lineRule="auto"/>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1次/年</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②水污染源监测</w:t>
            </w:r>
          </w:p>
          <w:p>
            <w:pPr>
              <w:pStyle w:val="10"/>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422" w:firstLineChars="200"/>
              <w:jc w:val="center"/>
              <w:textAlignment w:val="auto"/>
              <w:rPr>
                <w:rFonts w:hint="default" w:ascii="Times New Roman" w:hAnsi="Times New Roman" w:cs="Times New Roman"/>
                <w:b/>
                <w:bCs/>
                <w:sz w:val="21"/>
                <w:szCs w:val="16"/>
                <w:lang w:val="en-US" w:eastAsia="zh-CN"/>
              </w:rPr>
            </w:pPr>
            <w:r>
              <w:rPr>
                <w:rFonts w:hint="default" w:ascii="Times New Roman" w:hAnsi="Times New Roman" w:eastAsia="宋体" w:cs="Times New Roman"/>
                <w:b/>
                <w:bCs/>
                <w:color w:val="000000"/>
                <w:sz w:val="21"/>
                <w:szCs w:val="24"/>
                <w:lang w:val="en-US" w:eastAsia="zh-CN"/>
              </w:rPr>
              <w:t xml:space="preserve">表3-6  </w:t>
            </w:r>
            <w:r>
              <w:rPr>
                <w:rFonts w:hint="default" w:ascii="Times New Roman" w:hAnsi="Times New Roman" w:eastAsia="宋体" w:cs="Times New Roman"/>
                <w:b/>
                <w:bCs/>
                <w:color w:val="000000"/>
                <w:sz w:val="21"/>
                <w:szCs w:val="24"/>
              </w:rPr>
              <w:t>本项目</w:t>
            </w:r>
            <w:r>
              <w:rPr>
                <w:rFonts w:hint="default" w:ascii="Times New Roman" w:hAnsi="Times New Roman" w:eastAsia="宋体" w:cs="Times New Roman"/>
                <w:b/>
                <w:bCs/>
                <w:color w:val="000000"/>
                <w:sz w:val="21"/>
                <w:szCs w:val="24"/>
                <w:lang w:val="en-US" w:eastAsia="zh-CN"/>
              </w:rPr>
              <w:t>水污染源自行</w:t>
            </w:r>
            <w:r>
              <w:rPr>
                <w:rFonts w:hint="default" w:ascii="Times New Roman" w:hAnsi="Times New Roman" w:eastAsia="宋体" w:cs="Times New Roman"/>
                <w:b/>
                <w:bCs/>
                <w:color w:val="000000"/>
                <w:sz w:val="21"/>
                <w:szCs w:val="24"/>
              </w:rPr>
              <w:t>监测计划</w:t>
            </w:r>
          </w:p>
          <w:tbl>
            <w:tblPr>
              <w:tblStyle w:val="20"/>
              <w:tblW w:w="4998"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Layout w:type="autofit"/>
              <w:tblCellMar>
                <w:top w:w="0" w:type="dxa"/>
                <w:left w:w="108" w:type="dxa"/>
                <w:bottom w:w="0" w:type="dxa"/>
                <w:right w:w="108" w:type="dxa"/>
              </w:tblCellMar>
            </w:tblPr>
            <w:tblGrid>
              <w:gridCol w:w="2731"/>
              <w:gridCol w:w="2969"/>
              <w:gridCol w:w="2603"/>
            </w:tblGrid>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5" w:hRule="atLeast"/>
              </w:trPr>
              <w:tc>
                <w:tcPr>
                  <w:tcW w:w="1644" w:type="pct"/>
                  <w:vAlign w:val="center"/>
                </w:tcPr>
                <w:p>
                  <w:pPr>
                    <w:pStyle w:val="38"/>
                    <w:spacing w:line="360" w:lineRule="exact"/>
                    <w:rPr>
                      <w:rFonts w:hint="default" w:ascii="Times New Roman" w:hAnsi="Times New Roman" w:cs="Times New Roman"/>
                      <w:b/>
                      <w:color w:val="000000"/>
                      <w:kern w:val="2"/>
                    </w:rPr>
                  </w:pPr>
                  <w:r>
                    <w:rPr>
                      <w:rFonts w:hint="default" w:ascii="Times New Roman" w:hAnsi="Times New Roman" w:cs="Times New Roman"/>
                      <w:b/>
                      <w:color w:val="000000"/>
                      <w:kern w:val="2"/>
                    </w:rPr>
                    <w:t>监测位置</w:t>
                  </w:r>
                </w:p>
              </w:tc>
              <w:tc>
                <w:tcPr>
                  <w:tcW w:w="1787" w:type="pct"/>
                  <w:vAlign w:val="center"/>
                </w:tcPr>
                <w:p>
                  <w:pPr>
                    <w:pStyle w:val="38"/>
                    <w:spacing w:line="360" w:lineRule="exact"/>
                    <w:rPr>
                      <w:rFonts w:hint="default" w:ascii="Times New Roman" w:hAnsi="Times New Roman" w:cs="Times New Roman"/>
                      <w:b/>
                      <w:color w:val="000000"/>
                      <w:kern w:val="2"/>
                    </w:rPr>
                  </w:pPr>
                  <w:r>
                    <w:rPr>
                      <w:rFonts w:hint="default" w:ascii="Times New Roman" w:hAnsi="Times New Roman" w:cs="Times New Roman"/>
                      <w:b/>
                      <w:color w:val="000000"/>
                      <w:kern w:val="2"/>
                    </w:rPr>
                    <w:t>监测项目</w:t>
                  </w:r>
                </w:p>
              </w:tc>
              <w:tc>
                <w:tcPr>
                  <w:tcW w:w="1567" w:type="pct"/>
                  <w:vAlign w:val="center"/>
                </w:tcPr>
                <w:p>
                  <w:pPr>
                    <w:pStyle w:val="38"/>
                    <w:spacing w:line="360" w:lineRule="exact"/>
                    <w:rPr>
                      <w:rFonts w:hint="default" w:ascii="Times New Roman" w:hAnsi="Times New Roman" w:cs="Times New Roman"/>
                      <w:b/>
                      <w:color w:val="000000"/>
                      <w:kern w:val="2"/>
                    </w:rPr>
                  </w:pPr>
                  <w:r>
                    <w:rPr>
                      <w:rFonts w:hint="default" w:ascii="Times New Roman" w:hAnsi="Times New Roman" w:cs="Times New Roman"/>
                      <w:b/>
                      <w:color w:val="000000"/>
                      <w:kern w:val="2"/>
                    </w:rPr>
                    <w:t>监测频率</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8" w:hRule="atLeast"/>
              </w:trPr>
              <w:tc>
                <w:tcPr>
                  <w:tcW w:w="1644" w:type="pct"/>
                  <w:vAlign w:val="center"/>
                </w:tcPr>
                <w:p>
                  <w:pPr>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cs="Times New Roman"/>
                      <w:color w:val="000000"/>
                      <w:kern w:val="0"/>
                      <w:szCs w:val="21"/>
                      <w:lang w:val="en-US" w:eastAsia="zh-CN"/>
                    </w:rPr>
                    <w:t>废水排口</w:t>
                  </w:r>
                </w:p>
              </w:tc>
              <w:tc>
                <w:tcPr>
                  <w:tcW w:w="1787" w:type="pct"/>
                  <w:vAlign w:val="center"/>
                </w:tcPr>
                <w:p>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kern w:val="0"/>
                      <w:sz w:val="21"/>
                      <w:szCs w:val="21"/>
                      <w:lang w:val="en-US" w:eastAsia="zh-CN" w:bidi="ar-SA"/>
                    </w:rPr>
                    <w:t>pH</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COD</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SS</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甲醛</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三氯甲烷</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总氰化物</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挥发酚</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四氯乙烯</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氨氮</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总氮</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总磷（以P计）</w:t>
                  </w:r>
                  <w:r>
                    <w:rPr>
                      <w:rFonts w:hint="eastAsia" w:ascii="Times New Roman" w:hAnsi="Times New Roman" w:eastAsia="宋体" w:cs="Times New Roman"/>
                      <w:color w:val="000000"/>
                      <w:kern w:val="0"/>
                      <w:sz w:val="21"/>
                      <w:szCs w:val="21"/>
                      <w:lang w:val="en-US" w:eastAsia="zh-CN" w:bidi="ar-SA"/>
                    </w:rPr>
                    <w:t>、</w:t>
                  </w:r>
                  <w:r>
                    <w:rPr>
                      <w:rFonts w:hint="default" w:ascii="Times New Roman" w:hAnsi="Times New Roman" w:eastAsia="宋体" w:cs="Times New Roman"/>
                      <w:color w:val="000000"/>
                      <w:kern w:val="0"/>
                      <w:sz w:val="21"/>
                      <w:szCs w:val="21"/>
                      <w:lang w:val="en-US" w:eastAsia="zh-CN" w:bidi="ar-SA"/>
                    </w:rPr>
                    <w:t>石油类</w:t>
                  </w:r>
                </w:p>
              </w:tc>
              <w:tc>
                <w:tcPr>
                  <w:tcW w:w="1567" w:type="pct"/>
                  <w:vAlign w:val="center"/>
                </w:tcPr>
                <w:p>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1次/年</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③噪声污染源监测</w:t>
            </w:r>
          </w:p>
          <w:p>
            <w:pPr>
              <w:pStyle w:val="10"/>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422" w:firstLineChars="200"/>
              <w:jc w:val="center"/>
              <w:textAlignment w:val="auto"/>
              <w:rPr>
                <w:rFonts w:hint="default" w:ascii="Times New Roman" w:hAnsi="Times New Roman" w:eastAsia="宋体" w:cs="Times New Roman"/>
                <w:b/>
                <w:bCs/>
                <w:color w:val="000000"/>
                <w:sz w:val="21"/>
                <w:szCs w:val="24"/>
              </w:rPr>
            </w:pPr>
            <w:r>
              <w:rPr>
                <w:rFonts w:hint="default" w:ascii="Times New Roman" w:hAnsi="Times New Roman" w:eastAsia="宋体" w:cs="Times New Roman"/>
                <w:b/>
                <w:bCs/>
                <w:color w:val="000000"/>
                <w:sz w:val="21"/>
                <w:szCs w:val="24"/>
                <w:lang w:val="en-US" w:eastAsia="zh-CN"/>
              </w:rPr>
              <w:t xml:space="preserve">表3-7  </w:t>
            </w:r>
            <w:r>
              <w:rPr>
                <w:rFonts w:hint="default" w:ascii="Times New Roman" w:hAnsi="Times New Roman" w:eastAsia="宋体" w:cs="Times New Roman"/>
                <w:b/>
                <w:bCs/>
                <w:color w:val="000000"/>
                <w:sz w:val="21"/>
                <w:szCs w:val="24"/>
              </w:rPr>
              <w:t>本项目</w:t>
            </w:r>
            <w:r>
              <w:rPr>
                <w:rFonts w:hint="default" w:ascii="Times New Roman" w:hAnsi="Times New Roman" w:eastAsia="宋体" w:cs="Times New Roman"/>
                <w:b/>
                <w:bCs/>
                <w:color w:val="000000"/>
                <w:sz w:val="21"/>
                <w:szCs w:val="24"/>
                <w:lang w:val="en-US" w:eastAsia="zh-CN"/>
              </w:rPr>
              <w:t>水污染源自行</w:t>
            </w:r>
            <w:r>
              <w:rPr>
                <w:rFonts w:hint="default" w:ascii="Times New Roman" w:hAnsi="Times New Roman" w:eastAsia="宋体" w:cs="Times New Roman"/>
                <w:b/>
                <w:bCs/>
                <w:color w:val="000000"/>
                <w:sz w:val="21"/>
                <w:szCs w:val="24"/>
              </w:rPr>
              <w:t>监测计划</w:t>
            </w:r>
          </w:p>
          <w:tbl>
            <w:tblPr>
              <w:tblStyle w:val="20"/>
              <w:tblW w:w="4998"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Layout w:type="autofit"/>
              <w:tblCellMar>
                <w:top w:w="0" w:type="dxa"/>
                <w:left w:w="108" w:type="dxa"/>
                <w:bottom w:w="0" w:type="dxa"/>
                <w:right w:w="108" w:type="dxa"/>
              </w:tblCellMar>
            </w:tblPr>
            <w:tblGrid>
              <w:gridCol w:w="2733"/>
              <w:gridCol w:w="2969"/>
              <w:gridCol w:w="2601"/>
            </w:tblGrid>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45" w:hRule="atLeast"/>
              </w:trPr>
              <w:tc>
                <w:tcPr>
                  <w:tcW w:w="1645" w:type="pct"/>
                  <w:vAlign w:val="center"/>
                </w:tcPr>
                <w:p>
                  <w:pPr>
                    <w:pStyle w:val="38"/>
                    <w:spacing w:line="360" w:lineRule="exact"/>
                    <w:jc w:val="center"/>
                    <w:rPr>
                      <w:rFonts w:ascii="Times New Roman" w:hAnsi="Times New Roman" w:eastAsia="宋体"/>
                      <w:b/>
                      <w:color w:val="000000"/>
                      <w:kern w:val="2"/>
                      <w:sz w:val="21"/>
                    </w:rPr>
                  </w:pPr>
                  <w:r>
                    <w:rPr>
                      <w:rFonts w:ascii="Times New Roman" w:hAnsi="Times New Roman" w:eastAsia="宋体"/>
                      <w:b/>
                      <w:color w:val="000000"/>
                      <w:kern w:val="2"/>
                      <w:sz w:val="21"/>
                    </w:rPr>
                    <w:t>监测位置</w:t>
                  </w:r>
                </w:p>
              </w:tc>
              <w:tc>
                <w:tcPr>
                  <w:tcW w:w="1787" w:type="pct"/>
                  <w:vAlign w:val="center"/>
                </w:tcPr>
                <w:p>
                  <w:pPr>
                    <w:pStyle w:val="38"/>
                    <w:spacing w:line="360" w:lineRule="exact"/>
                    <w:jc w:val="center"/>
                    <w:rPr>
                      <w:rFonts w:ascii="Times New Roman" w:hAnsi="Times New Roman" w:eastAsia="宋体"/>
                      <w:b/>
                      <w:color w:val="000000"/>
                      <w:kern w:val="2"/>
                      <w:sz w:val="21"/>
                    </w:rPr>
                  </w:pPr>
                  <w:r>
                    <w:rPr>
                      <w:rFonts w:ascii="Times New Roman" w:hAnsi="Times New Roman" w:eastAsia="宋体"/>
                      <w:b/>
                      <w:color w:val="000000"/>
                      <w:kern w:val="2"/>
                      <w:sz w:val="21"/>
                    </w:rPr>
                    <w:t>监测项目</w:t>
                  </w:r>
                </w:p>
              </w:tc>
              <w:tc>
                <w:tcPr>
                  <w:tcW w:w="1566" w:type="pct"/>
                  <w:vAlign w:val="center"/>
                </w:tcPr>
                <w:p>
                  <w:pPr>
                    <w:pStyle w:val="38"/>
                    <w:spacing w:line="360" w:lineRule="exact"/>
                    <w:jc w:val="center"/>
                    <w:rPr>
                      <w:rFonts w:ascii="Times New Roman" w:hAnsi="Times New Roman" w:eastAsia="宋体"/>
                      <w:b/>
                      <w:color w:val="000000"/>
                      <w:kern w:val="2"/>
                      <w:sz w:val="21"/>
                    </w:rPr>
                  </w:pPr>
                  <w:r>
                    <w:rPr>
                      <w:rFonts w:ascii="Times New Roman" w:hAnsi="Times New Roman" w:eastAsia="宋体"/>
                      <w:b/>
                      <w:color w:val="000000"/>
                      <w:kern w:val="2"/>
                      <w:sz w:val="21"/>
                    </w:rPr>
                    <w:t>监测频率</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8" w:hRule="atLeast"/>
              </w:trPr>
              <w:tc>
                <w:tcPr>
                  <w:tcW w:w="1645" w:type="pct"/>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东</w:t>
                  </w:r>
                  <w:r>
                    <w:rPr>
                      <w:rFonts w:hint="eastAsia"/>
                      <w:szCs w:val="21"/>
                    </w:rPr>
                    <w:t>厂界</w:t>
                  </w:r>
                </w:p>
              </w:tc>
              <w:tc>
                <w:tcPr>
                  <w:tcW w:w="1787" w:type="pct"/>
                  <w:vAlign w:val="center"/>
                </w:tcPr>
                <w:p>
                  <w:pPr>
                    <w:spacing w:line="240" w:lineRule="exact"/>
                    <w:jc w:val="center"/>
                    <w:rPr>
                      <w:rFonts w:hint="default" w:ascii="Times New Roman" w:hAnsi="Times New Roman" w:eastAsia="宋体" w:cs="Times New Roman"/>
                      <w:color w:val="000000"/>
                      <w:kern w:val="2"/>
                      <w:sz w:val="21"/>
                      <w:szCs w:val="21"/>
                      <w:lang w:val="en-US" w:eastAsia="zh-CN" w:bidi="ar-SA"/>
                    </w:rPr>
                  </w:pPr>
                  <w:r>
                    <w:rPr>
                      <w:rFonts w:ascii="Times New Roman" w:hAnsi="Times New Roman" w:eastAsia="宋体"/>
                      <w:color w:val="000000"/>
                      <w:szCs w:val="21"/>
                    </w:rPr>
                    <w:t>等效连续A声级</w:t>
                  </w:r>
                </w:p>
              </w:tc>
              <w:tc>
                <w:tcPr>
                  <w:tcW w:w="1566" w:type="pct"/>
                  <w:vMerge w:val="restart"/>
                  <w:vAlign w:val="center"/>
                </w:tcPr>
                <w:p>
                  <w:pPr>
                    <w:spacing w:line="240" w:lineRule="exact"/>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olor w:val="000000"/>
                      <w:szCs w:val="21"/>
                    </w:rPr>
                    <w:t>1次/季度</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8" w:hRule="atLeast"/>
              </w:trPr>
              <w:tc>
                <w:tcPr>
                  <w:tcW w:w="0" w:type="auto"/>
                  <w:vAlign w:val="center"/>
                </w:tcPr>
                <w:p>
                  <w:pPr>
                    <w:jc w:val="center"/>
                    <w:rPr>
                      <w:rFonts w:hint="default" w:asciiTheme="minorHAnsi" w:hAnsiTheme="minorHAnsi" w:eastAsiaTheme="minorEastAsia" w:cstheme="minorBidi"/>
                      <w:kern w:val="2"/>
                      <w:sz w:val="21"/>
                      <w:szCs w:val="24"/>
                      <w:lang w:val="en-US" w:eastAsia="zh-CN" w:bidi="ar-SA"/>
                    </w:rPr>
                  </w:pPr>
                  <w:r>
                    <w:rPr>
                      <w:rFonts w:hint="eastAsia"/>
                      <w:szCs w:val="21"/>
                    </w:rPr>
                    <w:t>南厂界</w:t>
                  </w:r>
                </w:p>
              </w:tc>
              <w:tc>
                <w:tcPr>
                  <w:tcW w:w="0" w:type="auto"/>
                  <w:vAlign w:val="center"/>
                </w:tcPr>
                <w:p>
                  <w:pPr>
                    <w:spacing w:line="240" w:lineRule="exact"/>
                    <w:jc w:val="center"/>
                    <w:rPr>
                      <w:rFonts w:hint="default" w:ascii="Times New Roman" w:hAnsi="Times New Roman" w:eastAsia="宋体" w:cs="Times New Roman"/>
                      <w:color w:val="000000"/>
                      <w:kern w:val="2"/>
                      <w:sz w:val="21"/>
                      <w:szCs w:val="21"/>
                      <w:lang w:val="en-US" w:eastAsia="zh-CN" w:bidi="ar-SA"/>
                    </w:rPr>
                  </w:pPr>
                  <w:r>
                    <w:rPr>
                      <w:rFonts w:ascii="Times New Roman" w:hAnsi="Times New Roman" w:eastAsia="宋体"/>
                      <w:color w:val="000000"/>
                      <w:szCs w:val="21"/>
                    </w:rPr>
                    <w:t>等效连续A声级</w:t>
                  </w:r>
                </w:p>
              </w:tc>
              <w:tc>
                <w:tcPr>
                  <w:tcW w:w="1566" w:type="pct"/>
                  <w:vMerge w:val="continue"/>
                  <w:vAlign w:val="center"/>
                </w:tcPr>
                <w:p>
                  <w:pPr>
                    <w:spacing w:line="240" w:lineRule="exact"/>
                    <w:jc w:val="center"/>
                    <w:rPr>
                      <w:rFonts w:hint="default" w:ascii="Times New Roman" w:hAnsi="Times New Roman" w:eastAsia="宋体" w:cs="Times New Roman"/>
                      <w:color w:val="000000"/>
                      <w:kern w:val="2"/>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8" w:hRule="atLeast"/>
              </w:trPr>
              <w:tc>
                <w:tcPr>
                  <w:tcW w:w="0" w:type="auto"/>
                  <w:vAlign w:val="center"/>
                </w:tcPr>
                <w:p>
                  <w:pPr>
                    <w:jc w:val="center"/>
                    <w:rPr>
                      <w:rFonts w:hint="default" w:eastAsia="宋体" w:asciiTheme="minorHAnsi" w:hAnsiTheme="minorHAnsi" w:cstheme="minorBidi"/>
                      <w:kern w:val="2"/>
                      <w:sz w:val="21"/>
                      <w:szCs w:val="21"/>
                      <w:lang w:val="en-US" w:eastAsia="zh-CN" w:bidi="ar-SA"/>
                    </w:rPr>
                  </w:pPr>
                  <w:r>
                    <w:rPr>
                      <w:rFonts w:hint="eastAsia"/>
                      <w:szCs w:val="21"/>
                      <w:lang w:val="en-US" w:eastAsia="zh-CN"/>
                    </w:rPr>
                    <w:t>西</w:t>
                  </w:r>
                  <w:r>
                    <w:rPr>
                      <w:rFonts w:hint="eastAsia"/>
                      <w:szCs w:val="21"/>
                    </w:rPr>
                    <w:t>厂界</w:t>
                  </w:r>
                </w:p>
              </w:tc>
              <w:tc>
                <w:tcPr>
                  <w:tcW w:w="0" w:type="auto"/>
                  <w:vAlign w:val="center"/>
                </w:tcPr>
                <w:p>
                  <w:pPr>
                    <w:spacing w:line="240" w:lineRule="exact"/>
                    <w:jc w:val="center"/>
                    <w:rPr>
                      <w:rFonts w:hint="default" w:ascii="Times New Roman" w:hAnsi="Times New Roman" w:eastAsia="宋体" w:cs="Times New Roman"/>
                      <w:color w:val="000000"/>
                      <w:kern w:val="2"/>
                      <w:sz w:val="21"/>
                      <w:szCs w:val="21"/>
                      <w:lang w:val="en-US" w:eastAsia="zh-CN" w:bidi="ar-SA"/>
                    </w:rPr>
                  </w:pPr>
                  <w:r>
                    <w:rPr>
                      <w:rFonts w:ascii="Times New Roman" w:hAnsi="Times New Roman" w:eastAsia="宋体"/>
                      <w:color w:val="000000"/>
                      <w:szCs w:val="21"/>
                    </w:rPr>
                    <w:t>等效连续A声级</w:t>
                  </w:r>
                </w:p>
              </w:tc>
              <w:tc>
                <w:tcPr>
                  <w:tcW w:w="1566" w:type="pct"/>
                  <w:vMerge w:val="continue"/>
                  <w:vAlign w:val="center"/>
                </w:tcPr>
                <w:p>
                  <w:pPr>
                    <w:spacing w:line="240" w:lineRule="exact"/>
                    <w:jc w:val="center"/>
                    <w:rPr>
                      <w:rFonts w:hint="default" w:ascii="Times New Roman" w:hAnsi="Times New Roman" w:eastAsia="宋体" w:cs="Times New Roman"/>
                      <w:color w:val="000000"/>
                      <w:kern w:val="2"/>
                      <w:sz w:val="21"/>
                      <w:szCs w:val="21"/>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4" w:space="0"/>
                </w:tblBorders>
                <w:tblCellMar>
                  <w:top w:w="0" w:type="dxa"/>
                  <w:left w:w="108" w:type="dxa"/>
                  <w:bottom w:w="0" w:type="dxa"/>
                  <w:right w:w="108" w:type="dxa"/>
                </w:tblCellMar>
              </w:tblPrEx>
              <w:trPr>
                <w:trHeight w:val="398" w:hRule="atLeast"/>
              </w:trPr>
              <w:tc>
                <w:tcPr>
                  <w:tcW w:w="0" w:type="auto"/>
                  <w:vAlign w:val="center"/>
                </w:tcPr>
                <w:p>
                  <w:pPr>
                    <w:jc w:val="center"/>
                    <w:rPr>
                      <w:rFonts w:hint="default" w:asciiTheme="minorHAnsi" w:hAnsiTheme="minorHAnsi" w:eastAsiaTheme="minorEastAsia" w:cstheme="minorBidi"/>
                      <w:kern w:val="2"/>
                      <w:sz w:val="21"/>
                      <w:szCs w:val="24"/>
                      <w:lang w:val="en-US" w:eastAsia="zh-CN" w:bidi="ar-SA"/>
                    </w:rPr>
                  </w:pPr>
                  <w:r>
                    <w:rPr>
                      <w:rFonts w:hint="eastAsia"/>
                      <w:szCs w:val="21"/>
                      <w:lang w:val="en-US" w:eastAsia="zh-CN"/>
                    </w:rPr>
                    <w:t>北</w:t>
                  </w:r>
                  <w:r>
                    <w:rPr>
                      <w:rFonts w:hint="eastAsia"/>
                      <w:szCs w:val="21"/>
                      <w:lang w:eastAsia="zh-CN"/>
                    </w:rPr>
                    <w:t>厂界</w:t>
                  </w:r>
                </w:p>
              </w:tc>
              <w:tc>
                <w:tcPr>
                  <w:tcW w:w="0" w:type="auto"/>
                  <w:vAlign w:val="center"/>
                </w:tcPr>
                <w:p>
                  <w:pPr>
                    <w:spacing w:line="240" w:lineRule="exact"/>
                    <w:jc w:val="center"/>
                    <w:rPr>
                      <w:rFonts w:hint="default" w:ascii="Times New Roman" w:hAnsi="Times New Roman" w:eastAsia="宋体" w:cs="Times New Roman"/>
                      <w:color w:val="000000"/>
                      <w:kern w:val="2"/>
                      <w:sz w:val="21"/>
                      <w:szCs w:val="21"/>
                      <w:lang w:val="en-US" w:eastAsia="zh-CN" w:bidi="ar-SA"/>
                    </w:rPr>
                  </w:pPr>
                  <w:r>
                    <w:rPr>
                      <w:rFonts w:ascii="Times New Roman" w:hAnsi="Times New Roman" w:eastAsia="宋体"/>
                      <w:color w:val="000000"/>
                      <w:szCs w:val="21"/>
                    </w:rPr>
                    <w:t>等效连续A声级</w:t>
                  </w:r>
                </w:p>
              </w:tc>
              <w:tc>
                <w:tcPr>
                  <w:tcW w:w="1566" w:type="pct"/>
                  <w:vMerge w:val="continue"/>
                  <w:vAlign w:val="center"/>
                </w:tcPr>
                <w:p>
                  <w:pPr>
                    <w:spacing w:line="240" w:lineRule="exact"/>
                    <w:jc w:val="center"/>
                    <w:rPr>
                      <w:rFonts w:hint="default" w:ascii="Times New Roman" w:hAnsi="Times New Roman" w:eastAsia="宋体" w:cs="Times New Roman"/>
                      <w:color w:val="000000"/>
                      <w:kern w:val="2"/>
                      <w:sz w:val="21"/>
                      <w:szCs w:val="21"/>
                      <w:lang w:val="en-US" w:eastAsia="zh-CN" w:bidi="ar-SA"/>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6、厂界污染物监测点位示意图</w:t>
            </w:r>
          </w:p>
          <w:p>
            <w:pPr>
              <w:pStyle w:val="23"/>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default" w:ascii="Times New Roman" w:hAnsi="Times New Roman" w:cs="Times New Roman" w:eastAsiaTheme="minorEastAsia"/>
                <w:bCs/>
                <w:sz w:val="24"/>
              </w:rPr>
            </w:pPr>
            <w:r>
              <w:rPr>
                <w:rFonts w:hint="default" w:ascii="Times New Roman" w:hAnsi="Times New Roman" w:cs="Times New Roman" w:eastAsiaTheme="minorEastAsia"/>
                <w:bCs/>
                <w:sz w:val="24"/>
              </w:rPr>
              <w:t>监测时间：202</w:t>
            </w:r>
            <w:r>
              <w:rPr>
                <w:rFonts w:hint="default" w:ascii="Times New Roman" w:hAnsi="Times New Roman" w:cs="Times New Roman" w:eastAsiaTheme="minorEastAsia"/>
                <w:bCs/>
                <w:sz w:val="24"/>
                <w:lang w:val="en-US" w:eastAsia="zh-CN"/>
              </w:rPr>
              <w:t>3</w:t>
            </w:r>
            <w:r>
              <w:rPr>
                <w:rFonts w:hint="default" w:ascii="Times New Roman" w:hAnsi="Times New Roman" w:cs="Times New Roman" w:eastAsiaTheme="minorEastAsia"/>
                <w:bCs/>
                <w:sz w:val="24"/>
              </w:rPr>
              <w:t>月</w:t>
            </w:r>
            <w:r>
              <w:rPr>
                <w:rFonts w:hint="default" w:ascii="Times New Roman" w:hAnsi="Times New Roman" w:cs="Times New Roman" w:eastAsiaTheme="minorEastAsia"/>
                <w:bCs/>
                <w:sz w:val="24"/>
                <w:lang w:val="en-US" w:eastAsia="zh-CN"/>
              </w:rPr>
              <w:t>12</w:t>
            </w:r>
            <w:r>
              <w:rPr>
                <w:rFonts w:hint="default" w:ascii="Times New Roman" w:hAnsi="Times New Roman" w:cs="Times New Roman" w:eastAsiaTheme="minorEastAsia"/>
                <w:bCs/>
                <w:sz w:val="24"/>
              </w:rPr>
              <w:t>月</w:t>
            </w:r>
            <w:r>
              <w:rPr>
                <w:rFonts w:hint="default" w:ascii="Times New Roman" w:hAnsi="Times New Roman" w:cs="Times New Roman" w:eastAsiaTheme="minorEastAsia"/>
                <w:bCs/>
                <w:sz w:val="24"/>
                <w:lang w:val="en-US" w:eastAsia="zh-CN"/>
              </w:rPr>
              <w:t>18</w:t>
            </w:r>
            <w:r>
              <w:rPr>
                <w:rFonts w:hint="default" w:ascii="Times New Roman" w:hAnsi="Times New Roman" w:cs="Times New Roman" w:eastAsiaTheme="minorEastAsia"/>
                <w:bCs/>
                <w:sz w:val="24"/>
              </w:rPr>
              <w:t>日，</w:t>
            </w:r>
            <w:r>
              <w:rPr>
                <w:rFonts w:hint="default" w:ascii="Times New Roman" w:hAnsi="Times New Roman" w:cs="Times New Roman" w:eastAsiaTheme="minorEastAsia"/>
                <w:bCs/>
                <w:sz w:val="24"/>
                <w:lang w:val="en-US" w:eastAsia="zh-CN"/>
              </w:rPr>
              <w:t>风速：昼4.5m/s</w:t>
            </w:r>
            <w:r>
              <w:rPr>
                <w:rFonts w:hint="eastAsia" w:ascii="Times New Roman" w:hAnsi="Times New Roman" w:cs="Times New Roman" w:eastAsiaTheme="minorEastAsia"/>
                <w:bCs/>
                <w:sz w:val="24"/>
                <w:lang w:val="en-US" w:eastAsia="zh-CN"/>
              </w:rPr>
              <w:t>；风向：北风</w:t>
            </w:r>
            <w:r>
              <w:rPr>
                <w:rFonts w:hint="default" w:ascii="Times New Roman" w:hAnsi="Times New Roman" w:cs="Times New Roman" w:eastAsiaTheme="minorEastAsia"/>
                <w:bCs/>
                <w:sz w:val="24"/>
              </w:rPr>
              <w:t>。</w:t>
            </w:r>
          </w:p>
          <w:p>
            <w:pPr>
              <w:jc w:val="center"/>
              <w:rPr>
                <w:rFonts w:hint="default" w:ascii="Times New Roman" w:hAnsi="Times New Roman" w:cs="Times New Roman"/>
                <w:lang w:val="en-US" w:eastAsia="zh-CN"/>
              </w:rPr>
            </w:pPr>
            <w:r>
              <w:rPr>
                <w:rFonts w:hint="default" w:ascii="Times New Roman" w:hAnsi="Times New Roman" w:cs="Times New Roman"/>
                <w:lang w:val="en-US" w:eastAsia="zh-CN"/>
              </w:rPr>
              <w:drawing>
                <wp:inline distT="0" distB="0" distL="114300" distR="114300">
                  <wp:extent cx="5266690" cy="2962910"/>
                  <wp:effectExtent l="0" t="0" r="10160" b="8890"/>
                  <wp:docPr id="26" name="图片 26" descr="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2.18"/>
                          <pic:cNvPicPr>
                            <a:picLocks noChangeAspect="1"/>
                          </pic:cNvPicPr>
                        </pic:nvPicPr>
                        <pic:blipFill>
                          <a:blip r:embed="rId22"/>
                          <a:stretch>
                            <a:fillRect/>
                          </a:stretch>
                        </pic:blipFill>
                        <pic:spPr>
                          <a:xfrm>
                            <a:off x="0" y="0"/>
                            <a:ext cx="5266690" cy="2962910"/>
                          </a:xfrm>
                          <a:prstGeom prst="rect">
                            <a:avLst/>
                          </a:prstGeom>
                        </pic:spPr>
                      </pic:pic>
                    </a:graphicData>
                  </a:graphic>
                </wp:inline>
              </w:drawing>
            </w:r>
          </w:p>
          <w:p>
            <w:pPr>
              <w:pStyle w:val="23"/>
              <w:widowControl w:val="0"/>
              <w:jc w:val="center"/>
              <w:rPr>
                <w:rFonts w:hint="default" w:ascii="Times New Roman" w:hAnsi="Times New Roman" w:eastAsia="宋体" w:cs="Times New Roman"/>
                <w:b/>
                <w:bCs/>
                <w:color w:val="000000"/>
                <w:kern w:val="0"/>
                <w:sz w:val="21"/>
                <w:szCs w:val="24"/>
                <w:lang w:val="en-US" w:eastAsia="zh-CN" w:bidi="ar-SA"/>
              </w:rPr>
            </w:pPr>
            <w:r>
              <w:rPr>
                <w:rFonts w:hint="default" w:ascii="Times New Roman" w:hAnsi="Times New Roman" w:eastAsia="宋体" w:cs="Times New Roman"/>
                <w:b/>
                <w:bCs/>
                <w:color w:val="000000"/>
                <w:kern w:val="0"/>
                <w:sz w:val="21"/>
                <w:szCs w:val="24"/>
                <w:lang w:val="en-US" w:eastAsia="zh-CN" w:bidi="ar-SA"/>
              </w:rPr>
              <w:t>图3-</w:t>
            </w:r>
            <w:r>
              <w:rPr>
                <w:rFonts w:hint="eastAsia" w:ascii="Times New Roman" w:hAnsi="Times New Roman" w:cs="Times New Roman"/>
                <w:b/>
                <w:bCs/>
                <w:color w:val="000000"/>
                <w:kern w:val="0"/>
                <w:sz w:val="21"/>
                <w:szCs w:val="24"/>
                <w:lang w:val="en-US" w:eastAsia="zh-CN" w:bidi="ar-SA"/>
              </w:rPr>
              <w:t>5</w:t>
            </w:r>
            <w:r>
              <w:rPr>
                <w:rFonts w:hint="default" w:ascii="Times New Roman" w:hAnsi="Times New Roman" w:eastAsia="宋体" w:cs="Times New Roman"/>
                <w:b/>
                <w:bCs/>
                <w:color w:val="000000"/>
                <w:kern w:val="0"/>
                <w:sz w:val="21"/>
                <w:szCs w:val="24"/>
                <w:lang w:val="en-US" w:eastAsia="zh-CN" w:bidi="ar-SA"/>
              </w:rPr>
              <w:t xml:space="preserve">  </w:t>
            </w:r>
            <w:r>
              <w:rPr>
                <w:rFonts w:hint="default" w:ascii="Times New Roman" w:hAnsi="Times New Roman" w:cs="Times New Roman"/>
                <w:b/>
                <w:bCs/>
                <w:color w:val="000000"/>
                <w:kern w:val="0"/>
                <w:sz w:val="21"/>
                <w:szCs w:val="24"/>
                <w:lang w:val="en-US" w:eastAsia="zh-CN" w:bidi="ar-SA"/>
              </w:rPr>
              <w:t>12</w:t>
            </w:r>
            <w:r>
              <w:rPr>
                <w:rFonts w:hint="default" w:ascii="Times New Roman" w:hAnsi="Times New Roman" w:eastAsia="宋体" w:cs="Times New Roman"/>
                <w:b/>
                <w:bCs/>
                <w:color w:val="000000"/>
                <w:kern w:val="0"/>
                <w:sz w:val="21"/>
                <w:szCs w:val="24"/>
                <w:lang w:val="en-US" w:eastAsia="zh-CN" w:bidi="ar-SA"/>
              </w:rPr>
              <w:t>月</w:t>
            </w:r>
            <w:r>
              <w:rPr>
                <w:rFonts w:hint="default" w:ascii="Times New Roman" w:hAnsi="Times New Roman" w:cs="Times New Roman"/>
                <w:b/>
                <w:bCs/>
                <w:color w:val="000000"/>
                <w:kern w:val="0"/>
                <w:sz w:val="21"/>
                <w:szCs w:val="24"/>
                <w:lang w:val="en-US" w:eastAsia="zh-CN" w:bidi="ar-SA"/>
              </w:rPr>
              <w:t>18</w:t>
            </w:r>
            <w:r>
              <w:rPr>
                <w:rFonts w:hint="default" w:ascii="Times New Roman" w:hAnsi="Times New Roman" w:eastAsia="宋体" w:cs="Times New Roman"/>
                <w:b/>
                <w:bCs/>
                <w:color w:val="000000"/>
                <w:kern w:val="0"/>
                <w:sz w:val="21"/>
                <w:szCs w:val="24"/>
                <w:lang w:val="en-US" w:eastAsia="zh-CN" w:bidi="ar-SA"/>
              </w:rPr>
              <w:t>日监测点位图</w:t>
            </w:r>
          </w:p>
          <w:p>
            <w:pPr>
              <w:pStyle w:val="23"/>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default" w:ascii="Times New Roman" w:hAnsi="Times New Roman" w:cs="Times New Roman"/>
                <w:lang w:val="en-US" w:eastAsia="zh-CN"/>
              </w:rPr>
            </w:pPr>
            <w:r>
              <w:rPr>
                <w:rFonts w:hint="default" w:ascii="Times New Roman" w:hAnsi="Times New Roman" w:cs="Times New Roman" w:eastAsiaTheme="minorEastAsia"/>
                <w:bCs/>
                <w:sz w:val="24"/>
              </w:rPr>
              <w:t>监测时间：202</w:t>
            </w:r>
            <w:r>
              <w:rPr>
                <w:rFonts w:hint="default" w:ascii="Times New Roman" w:hAnsi="Times New Roman" w:cs="Times New Roman" w:eastAsiaTheme="minorEastAsia"/>
                <w:bCs/>
                <w:sz w:val="24"/>
                <w:lang w:val="en-US" w:eastAsia="zh-CN"/>
              </w:rPr>
              <w:t>3</w:t>
            </w:r>
            <w:r>
              <w:rPr>
                <w:rFonts w:hint="default" w:ascii="Times New Roman" w:hAnsi="Times New Roman" w:cs="Times New Roman" w:eastAsiaTheme="minorEastAsia"/>
                <w:bCs/>
                <w:sz w:val="24"/>
              </w:rPr>
              <w:t>月</w:t>
            </w:r>
            <w:r>
              <w:rPr>
                <w:rFonts w:hint="default" w:ascii="Times New Roman" w:hAnsi="Times New Roman" w:cs="Times New Roman" w:eastAsiaTheme="minorEastAsia"/>
                <w:bCs/>
                <w:sz w:val="24"/>
                <w:lang w:val="en-US" w:eastAsia="zh-CN"/>
              </w:rPr>
              <w:t>12</w:t>
            </w:r>
            <w:r>
              <w:rPr>
                <w:rFonts w:hint="default" w:ascii="Times New Roman" w:hAnsi="Times New Roman" w:cs="Times New Roman" w:eastAsiaTheme="minorEastAsia"/>
                <w:bCs/>
                <w:sz w:val="24"/>
              </w:rPr>
              <w:t>月</w:t>
            </w:r>
            <w:r>
              <w:rPr>
                <w:rFonts w:hint="default" w:ascii="Times New Roman" w:hAnsi="Times New Roman" w:cs="Times New Roman" w:eastAsiaTheme="minorEastAsia"/>
                <w:bCs/>
                <w:sz w:val="24"/>
                <w:lang w:val="en-US" w:eastAsia="zh-CN"/>
              </w:rPr>
              <w:t>19</w:t>
            </w:r>
            <w:r>
              <w:rPr>
                <w:rFonts w:hint="default" w:ascii="Times New Roman" w:hAnsi="Times New Roman" w:cs="Times New Roman" w:eastAsiaTheme="minorEastAsia"/>
                <w:bCs/>
                <w:sz w:val="24"/>
              </w:rPr>
              <w:t>日，</w:t>
            </w:r>
            <w:r>
              <w:rPr>
                <w:rFonts w:hint="default" w:ascii="Times New Roman" w:hAnsi="Times New Roman" w:cs="Times New Roman" w:eastAsiaTheme="minorEastAsia"/>
                <w:bCs/>
                <w:sz w:val="24"/>
                <w:lang w:val="en-US" w:eastAsia="zh-CN"/>
              </w:rPr>
              <w:t>风速：昼4.5m/s</w:t>
            </w:r>
            <w:r>
              <w:rPr>
                <w:rFonts w:hint="eastAsia" w:ascii="Times New Roman" w:hAnsi="Times New Roman" w:cs="Times New Roman" w:eastAsiaTheme="minorEastAsia"/>
                <w:bCs/>
                <w:sz w:val="24"/>
                <w:lang w:val="en-US" w:eastAsia="zh-CN"/>
              </w:rPr>
              <w:t>；风向：西北风</w:t>
            </w:r>
            <w:r>
              <w:rPr>
                <w:rFonts w:hint="default" w:ascii="Times New Roman" w:hAnsi="Times New Roman" w:cs="Times New Roman" w:eastAsiaTheme="minorEastAsia"/>
                <w:bCs/>
                <w:sz w:val="24"/>
              </w:rPr>
              <w:t>。</w:t>
            </w:r>
          </w:p>
          <w:p>
            <w:pPr>
              <w:pStyle w:val="2"/>
              <w:rPr>
                <w:rFonts w:hint="default" w:ascii="Times New Roman" w:hAnsi="Times New Roman" w:cs="Times New Roman"/>
                <w:lang w:val="en-US" w:eastAsia="zh-CN"/>
              </w:rPr>
            </w:pPr>
            <w:r>
              <w:rPr>
                <w:rFonts w:hint="default" w:ascii="Times New Roman" w:hAnsi="Times New Roman" w:cs="Times New Roman"/>
                <w:lang w:val="en-US" w:eastAsia="zh-CN"/>
              </w:rPr>
              <w:drawing>
                <wp:inline distT="0" distB="0" distL="114300" distR="114300">
                  <wp:extent cx="5266690" cy="2962910"/>
                  <wp:effectExtent l="0" t="0" r="10160" b="8890"/>
                  <wp:docPr id="28" name="图片 28" descr="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12.19"/>
                          <pic:cNvPicPr>
                            <a:picLocks noChangeAspect="1"/>
                          </pic:cNvPicPr>
                        </pic:nvPicPr>
                        <pic:blipFill>
                          <a:blip r:embed="rId23"/>
                          <a:stretch>
                            <a:fillRect/>
                          </a:stretch>
                        </pic:blipFill>
                        <pic:spPr>
                          <a:xfrm>
                            <a:off x="0" y="0"/>
                            <a:ext cx="5266690" cy="2962910"/>
                          </a:xfrm>
                          <a:prstGeom prst="rect">
                            <a:avLst/>
                          </a:prstGeom>
                        </pic:spPr>
                      </pic:pic>
                    </a:graphicData>
                  </a:graphic>
                </wp:inline>
              </w:drawing>
            </w:r>
          </w:p>
          <w:p>
            <w:pPr>
              <w:pStyle w:val="23"/>
              <w:widowControl w:val="0"/>
              <w:jc w:val="center"/>
              <w:rPr>
                <w:rFonts w:hint="default"/>
                <w:lang w:val="en-US" w:eastAsia="zh-CN"/>
              </w:rPr>
            </w:pPr>
            <w:r>
              <w:rPr>
                <w:rFonts w:hint="default" w:ascii="Times New Roman" w:hAnsi="Times New Roman" w:eastAsia="宋体" w:cs="Times New Roman"/>
                <w:b/>
                <w:bCs/>
                <w:color w:val="000000"/>
                <w:kern w:val="0"/>
                <w:sz w:val="21"/>
                <w:szCs w:val="24"/>
                <w:lang w:val="en-US" w:eastAsia="zh-CN" w:bidi="ar-SA"/>
              </w:rPr>
              <w:t>图3-</w:t>
            </w:r>
            <w:r>
              <w:rPr>
                <w:rFonts w:hint="eastAsia" w:ascii="Times New Roman" w:hAnsi="Times New Roman" w:cs="Times New Roman"/>
                <w:b/>
                <w:bCs/>
                <w:color w:val="000000"/>
                <w:kern w:val="0"/>
                <w:sz w:val="21"/>
                <w:szCs w:val="24"/>
                <w:lang w:val="en-US" w:eastAsia="zh-CN" w:bidi="ar-SA"/>
              </w:rPr>
              <w:t>6</w:t>
            </w:r>
            <w:r>
              <w:rPr>
                <w:rFonts w:hint="default" w:ascii="Times New Roman" w:hAnsi="Times New Roman" w:eastAsia="宋体" w:cs="Times New Roman"/>
                <w:b/>
                <w:bCs/>
                <w:color w:val="000000"/>
                <w:kern w:val="0"/>
                <w:sz w:val="21"/>
                <w:szCs w:val="24"/>
                <w:lang w:val="en-US" w:eastAsia="zh-CN" w:bidi="ar-SA"/>
              </w:rPr>
              <w:t xml:space="preserve">  </w:t>
            </w:r>
            <w:r>
              <w:rPr>
                <w:rFonts w:hint="default" w:ascii="Times New Roman" w:hAnsi="Times New Roman" w:cs="Times New Roman"/>
                <w:b/>
                <w:bCs/>
                <w:color w:val="000000"/>
                <w:kern w:val="0"/>
                <w:sz w:val="21"/>
                <w:szCs w:val="24"/>
                <w:lang w:val="en-US" w:eastAsia="zh-CN" w:bidi="ar-SA"/>
              </w:rPr>
              <w:t>12</w:t>
            </w:r>
            <w:r>
              <w:rPr>
                <w:rFonts w:hint="default" w:ascii="Times New Roman" w:hAnsi="Times New Roman" w:eastAsia="宋体" w:cs="Times New Roman"/>
                <w:b/>
                <w:bCs/>
                <w:color w:val="000000"/>
                <w:kern w:val="0"/>
                <w:sz w:val="21"/>
                <w:szCs w:val="24"/>
                <w:lang w:val="en-US" w:eastAsia="zh-CN" w:bidi="ar-SA"/>
              </w:rPr>
              <w:t>月</w:t>
            </w:r>
            <w:r>
              <w:rPr>
                <w:rFonts w:hint="default" w:ascii="Times New Roman" w:hAnsi="Times New Roman" w:cs="Times New Roman"/>
                <w:b/>
                <w:bCs/>
                <w:color w:val="000000"/>
                <w:kern w:val="0"/>
                <w:sz w:val="21"/>
                <w:szCs w:val="24"/>
                <w:lang w:val="en-US" w:eastAsia="zh-CN" w:bidi="ar-SA"/>
              </w:rPr>
              <w:t>19</w:t>
            </w:r>
            <w:r>
              <w:rPr>
                <w:rFonts w:hint="default" w:ascii="Times New Roman" w:hAnsi="Times New Roman" w:eastAsia="宋体" w:cs="Times New Roman"/>
                <w:b/>
                <w:bCs/>
                <w:color w:val="000000"/>
                <w:kern w:val="0"/>
                <w:sz w:val="21"/>
                <w:szCs w:val="24"/>
                <w:lang w:val="en-US" w:eastAsia="zh-CN" w:bidi="ar-SA"/>
              </w:rPr>
              <w:t>日监测点位图</w:t>
            </w:r>
          </w:p>
        </w:tc>
      </w:tr>
    </w:tbl>
    <w:p>
      <w:pPr>
        <w:rPr>
          <w:rFonts w:hint="default"/>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bidi w:val="0"/>
        <w:rPr>
          <w:rFonts w:hint="eastAsia" w:ascii="宋体" w:hAnsi="宋体" w:eastAsia="宋体" w:cs="宋体"/>
          <w:sz w:val="32"/>
          <w:szCs w:val="32"/>
          <w:lang w:val="en-US" w:eastAsia="zh-CN"/>
        </w:rPr>
      </w:pPr>
      <w:bookmarkStart w:id="97" w:name="_Toc17134"/>
      <w:r>
        <w:rPr>
          <w:rFonts w:hint="eastAsia" w:ascii="宋体" w:hAnsi="宋体" w:eastAsia="宋体" w:cs="宋体"/>
          <w:sz w:val="32"/>
          <w:szCs w:val="32"/>
          <w:lang w:val="en-US" w:eastAsia="zh-CN"/>
        </w:rPr>
        <w:t>表四</w:t>
      </w:r>
      <w:bookmarkEnd w:id="97"/>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96" w:hRule="atLeast"/>
        </w:trPr>
        <w:tc>
          <w:tcPr>
            <w:tcW w:w="85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sz w:val="24"/>
                <w:szCs w:val="24"/>
              </w:rPr>
            </w:pPr>
            <w:r>
              <w:rPr>
                <w:rFonts w:hint="default" w:ascii="Times New Roman" w:hAnsi="Times New Roman" w:eastAsia="宋体" w:cs="Times New Roman"/>
                <w:b w:val="0"/>
                <w:bCs/>
                <w:sz w:val="24"/>
                <w:szCs w:val="24"/>
              </w:rPr>
              <w:t>建设项目环境影响报告表主要结论及审批部门审批决定：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val="0"/>
                <w:sz w:val="24"/>
                <w:szCs w:val="24"/>
              </w:rPr>
            </w:pPr>
            <w:r>
              <w:rPr>
                <w:rFonts w:hint="default" w:ascii="Times New Roman" w:hAnsi="Times New Roman" w:eastAsia="宋体" w:cs="Times New Roman"/>
                <w:b/>
                <w:bCs w:val="0"/>
                <w:color w:val="000000"/>
                <w:sz w:val="24"/>
                <w:szCs w:val="24"/>
              </w:rPr>
              <w:t>一、</w:t>
            </w:r>
            <w:r>
              <w:rPr>
                <w:rFonts w:hint="default" w:ascii="Times New Roman" w:hAnsi="Times New Roman" w:eastAsia="宋体" w:cs="Times New Roman"/>
                <w:b/>
                <w:bCs w:val="0"/>
                <w:sz w:val="24"/>
                <w:szCs w:val="24"/>
              </w:rPr>
              <w:t>建设项目环境影响报告表主要结论</w:t>
            </w:r>
          </w:p>
          <w:p>
            <w:pPr>
              <w:adjustRightInd w:val="0"/>
              <w:snapToGrid w:val="0"/>
              <w:spacing w:line="360" w:lineRule="auto"/>
              <w:ind w:firstLine="480" w:firstLineChars="200"/>
              <w:rPr>
                <w:rFonts w:hint="default" w:ascii="Times New Roman" w:hAnsi="Times New Roman" w:cs="Times New Roman"/>
                <w:sz w:val="28"/>
                <w:szCs w:val="28"/>
              </w:rPr>
            </w:pPr>
            <w:r>
              <w:rPr>
                <w:rFonts w:hint="default" w:ascii="Times New Roman" w:hAnsi="Times New Roman" w:eastAsia="宋体" w:cs="Times New Roman"/>
                <w:b w:val="0"/>
                <w:bCs/>
                <w:sz w:val="24"/>
                <w:szCs w:val="24"/>
              </w:rPr>
              <w:t>报告表及大气专项采用的评价技术路线基本正确，对工程内容、污染防治及环境影响进行了分析阐述，章节设置基本完整，总体符合《建设项目环境影响报告表编制技术指南（污染影响类）（试行）》、《环境影响评价技术导则大气环境》（HJ2.2-2018）等相关要求，评价结论原则可信。报告表及大气专项经修改完善后，可上报审批。</w:t>
            </w:r>
          </w:p>
          <w:p>
            <w:pPr>
              <w:spacing w:line="360" w:lineRule="auto"/>
              <w:ind w:firstLine="480" w:firstLineChars="200"/>
              <w:jc w:val="left"/>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建议：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b w:val="0"/>
                <w:bCs/>
                <w:kern w:val="2"/>
                <w:sz w:val="24"/>
                <w:szCs w:val="24"/>
                <w:lang w:val="en-US" w:eastAsia="zh-CN" w:bidi="ar-SA"/>
              </w:rPr>
              <w:t>（1）建设单位在</w:t>
            </w:r>
            <w:r>
              <w:rPr>
                <w:rFonts w:hint="default" w:ascii="Times New Roman" w:hAnsi="Times New Roman" w:eastAsia="宋体" w:cs="Times New Roman"/>
                <w:color w:val="auto"/>
                <w:sz w:val="24"/>
                <w:szCs w:val="24"/>
                <w:lang w:val="en-US" w:eastAsia="zh-CN"/>
              </w:rPr>
              <w:t>项目实施过程中，务必认真落实本项目的各项治理措施，确保建设项目的污染物排放量达到污染物排放总量控制指标的要求。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（2）为了在发展经济的同时保护好当地环境，厂方应增强环境保护意识，提倡清洁生产，从原料，工艺和生产过程全方位着手采取有效措施，节约能源和原材料、减少污染物的排放。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（3）根据生态部门环境管理要求，当不利气象条件下时，NOx执行《长三角地区2019-2020年秋冬季大气污染综合治理攻坚行动方案》中低氮燃气锅炉的排放要求：≤50毫克/立方米，建议使用低氮燃烧器。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（4）建议公司加强各种处理设施的维修、保养及管理，确保污染治理设施的正常运转。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（5）及时检修维护机械设备，切实做好噪声防治措施，尽可能地将噪声影响降低到最低限度。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（6）切实做好职工卫生防护，保护作业工人的身体健康。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（7）项目竣工后，需通过环保部门的合格验收，项目方可投入正常生产。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8）上述评价结果是根据江苏标普检测科技有限公司提供的项目规模、布局、工艺流程、原辅材料用量及与此对应的排放情况基础上得出的，如果布局、规模、工艺流程和排污情况有所变化，应向环保部门另行申报。</w:t>
            </w:r>
          </w:p>
          <w:p>
            <w:pPr>
              <w:spacing w:line="360" w:lineRule="auto"/>
              <w:rPr>
                <w:rFonts w:hint="default" w:ascii="Times New Roman" w:hAnsi="Times New Roman" w:eastAsia="宋体" w:cs="Times New Roman"/>
                <w:b/>
                <w:bCs w:val="0"/>
                <w:color w:val="000000"/>
                <w:sz w:val="24"/>
              </w:rPr>
            </w:pPr>
            <w:r>
              <w:rPr>
                <w:rFonts w:hint="default" w:ascii="Times New Roman" w:hAnsi="Times New Roman" w:eastAsia="宋体" w:cs="Times New Roman"/>
                <w:b/>
                <w:bCs w:val="0"/>
                <w:color w:val="000000"/>
                <w:sz w:val="24"/>
              </w:rPr>
              <w:t>二、审批部门审批决定</w:t>
            </w:r>
          </w:p>
          <w:p>
            <w:pPr>
              <w:pStyle w:val="8"/>
              <w:spacing w:line="360" w:lineRule="auto"/>
              <w:ind w:firstLine="480"/>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环评审批意见要求和实际落实情况见表4-1。</w:t>
            </w:r>
          </w:p>
          <w:p>
            <w:pPr>
              <w:pStyle w:val="8"/>
              <w:spacing w:line="360" w:lineRule="auto"/>
              <w:ind w:left="0" w:leftChars="0" w:firstLine="0" w:firstLineChars="0"/>
              <w:jc w:val="center"/>
              <w:rPr>
                <w:rFonts w:hint="default" w:ascii="Times New Roman" w:hAnsi="Times New Roman" w:eastAsia="宋体" w:cs="Times New Roman"/>
                <w:b/>
                <w:color w:val="000000"/>
                <w:kern w:val="0"/>
                <w:sz w:val="21"/>
                <w:szCs w:val="16"/>
                <w:lang w:val="en-US" w:eastAsia="zh-CN"/>
              </w:rPr>
            </w:pPr>
          </w:p>
          <w:p>
            <w:pPr>
              <w:pStyle w:val="8"/>
              <w:spacing w:line="240" w:lineRule="auto"/>
              <w:ind w:left="0" w:leftChars="0" w:firstLine="0" w:firstLineChars="0"/>
              <w:jc w:val="center"/>
              <w:rPr>
                <w:rFonts w:hint="default" w:ascii="Times New Roman" w:hAnsi="Times New Roman" w:eastAsia="宋体" w:cs="Times New Roman"/>
                <w:b/>
                <w:color w:val="000000"/>
                <w:kern w:val="0"/>
                <w:sz w:val="21"/>
                <w:szCs w:val="16"/>
                <w:lang w:val="en-US" w:eastAsia="zh-CN"/>
              </w:rPr>
            </w:pPr>
            <w:r>
              <w:rPr>
                <w:rFonts w:hint="default" w:ascii="Times New Roman" w:hAnsi="Times New Roman" w:eastAsia="宋体" w:cs="Times New Roman"/>
                <w:b/>
                <w:color w:val="000000"/>
                <w:kern w:val="0"/>
                <w:sz w:val="21"/>
                <w:szCs w:val="16"/>
                <w:lang w:val="en-US" w:eastAsia="zh-CN"/>
              </w:rPr>
              <w:t xml:space="preserve">表4-1  </w:t>
            </w:r>
            <w:r>
              <w:rPr>
                <w:rFonts w:hint="default" w:ascii="Times New Roman" w:hAnsi="Times New Roman" w:eastAsia="宋体" w:cs="Times New Roman"/>
                <w:b/>
                <w:color w:val="000000"/>
                <w:kern w:val="0"/>
                <w:sz w:val="21"/>
                <w:szCs w:val="16"/>
                <w:highlight w:val="none"/>
                <w:lang w:val="en-US" w:eastAsia="zh-CN"/>
              </w:rPr>
              <w:t>环评审批意见要求</w:t>
            </w:r>
            <w:r>
              <w:rPr>
                <w:rFonts w:hint="default" w:ascii="Times New Roman" w:hAnsi="Times New Roman" w:eastAsia="宋体" w:cs="Times New Roman"/>
                <w:b/>
                <w:color w:val="000000"/>
                <w:kern w:val="0"/>
                <w:sz w:val="21"/>
                <w:szCs w:val="16"/>
                <w:lang w:val="en-US" w:eastAsia="zh-CN"/>
              </w:rPr>
              <w:t>和实际落实情况对照表</w:t>
            </w:r>
          </w:p>
          <w:tbl>
            <w:tblPr>
              <w:tblStyle w:val="21"/>
              <w:tblW w:w="8306"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868"/>
              <w:gridCol w:w="343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868" w:type="dxa"/>
                  <w:tcBorders>
                    <w:tl2br w:val="nil"/>
                    <w:tr2bl w:val="nil"/>
                  </w:tcBorders>
                  <w:vAlign w:val="center"/>
                </w:tcPr>
                <w:p>
                  <w:pPr>
                    <w:pageBreakBefore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 w:val="21"/>
                      <w:szCs w:val="21"/>
                    </w:rPr>
                    <w:t>环境影响批复要求</w:t>
                  </w:r>
                </w:p>
              </w:tc>
              <w:tc>
                <w:tcPr>
                  <w:tcW w:w="3438" w:type="dxa"/>
                  <w:tcBorders>
                    <w:tl2br w:val="nil"/>
                    <w:tr2bl w:val="nil"/>
                  </w:tcBorders>
                  <w:vAlign w:val="center"/>
                </w:tcPr>
                <w:p>
                  <w:pPr>
                    <w:pageBreakBefore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color w:val="auto"/>
                      <w:sz w:val="21"/>
                      <w:szCs w:val="21"/>
                    </w:rPr>
                    <w:t>批复落实情况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868" w:type="dxa"/>
                  <w:tcBorders>
                    <w:tl2br w:val="nil"/>
                    <w:tr2bl w:val="nil"/>
                  </w:tcBorders>
                  <w:vAlign w:val="center"/>
                </w:tcPr>
                <w:p>
                  <w:pPr>
                    <w:spacing w:line="240" w:lineRule="auto"/>
                    <w:jc w:val="both"/>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一）在确保安全生产的前提下，按《报告表》及专项要求落实各项废气控制措施，工程设计中，应进一步优化废气处理方案，确保各类工艺废气的收集、处理效率及排气筒高度等达到规范的要求。项目废气主要有配取试剂溶液废气、分析检测废气、清洗废气，实验过程中产生的酸性废气采用通风橱和吸风罩收集，通过一套碱喷淋装置分质处理后输送至二级活性炭装置</w:t>
                  </w:r>
                  <w:r>
                    <w:rPr>
                      <w:rFonts w:hint="eastAsia" w:ascii="Times New Roman" w:hAnsi="Times New Roman" w:eastAsia="宋体" w:cs="Times New Roman"/>
                      <w:b w:val="0"/>
                      <w:bCs w:val="0"/>
                      <w:sz w:val="21"/>
                      <w:szCs w:val="21"/>
                      <w:vertAlign w:val="baseline"/>
                      <w:lang w:val="en-US" w:eastAsia="zh-CN"/>
                    </w:rPr>
                    <w:t>；</w:t>
                  </w:r>
                  <w:r>
                    <w:rPr>
                      <w:rFonts w:hint="default" w:ascii="Times New Roman" w:hAnsi="Times New Roman" w:eastAsia="宋体" w:cs="Times New Roman"/>
                      <w:b w:val="0"/>
                      <w:bCs w:val="0"/>
                      <w:sz w:val="21"/>
                      <w:szCs w:val="21"/>
                      <w:vertAlign w:val="baseline"/>
                      <w:lang w:val="en-US" w:eastAsia="zh-CN"/>
                    </w:rPr>
                    <w:t>有机废气采用通风橱和吸风罩收集,通过一套二级活性炭装置吸附处理后经15米高的排气筒DA001排放。项目产生的氮氧化物氯化氢、硫酸雾、氯气、非甲烷总烃排放执行《大气污染物综合排放标准》(DB32/4041-2021)相关标准限值和要求</w:t>
                  </w:r>
                  <w:r>
                    <w:rPr>
                      <w:rFonts w:hint="eastAsia" w:ascii="Times New Roman" w:hAnsi="Times New Roman" w:eastAsia="宋体" w:cs="Times New Roman"/>
                      <w:b w:val="0"/>
                      <w:bCs w:val="0"/>
                      <w:sz w:val="21"/>
                      <w:szCs w:val="21"/>
                      <w:vertAlign w:val="baseline"/>
                      <w:lang w:val="en-US" w:eastAsia="zh-CN"/>
                    </w:rPr>
                    <w:t>；</w:t>
                  </w:r>
                  <w:r>
                    <w:rPr>
                      <w:rFonts w:hint="default" w:ascii="Times New Roman" w:hAnsi="Times New Roman" w:eastAsia="宋体" w:cs="Times New Roman"/>
                      <w:b w:val="0"/>
                      <w:bCs w:val="0"/>
                      <w:sz w:val="21"/>
                      <w:szCs w:val="21"/>
                      <w:vertAlign w:val="baseline"/>
                      <w:lang w:val="en-US" w:eastAsia="zh-CN"/>
                    </w:rPr>
                    <w:t>氨、二硫化碳以及臭气浓度排放执行《恶臭污染物排放标准》GB14554-93)相关标准限值和要求。</w:t>
                  </w:r>
                </w:p>
              </w:tc>
              <w:tc>
                <w:tcPr>
                  <w:tcW w:w="3438" w:type="dxa"/>
                  <w:tcBorders>
                    <w:tl2br w:val="nil"/>
                    <w:tr2bl w:val="nil"/>
                  </w:tcBorders>
                  <w:vAlign w:val="center"/>
                </w:tcPr>
                <w:p>
                  <w:pPr>
                    <w:spacing w:line="240" w:lineRule="auto"/>
                    <w:jc w:val="center"/>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已落实，</w:t>
                  </w:r>
                  <w:r>
                    <w:rPr>
                      <w:rFonts w:hint="eastAsia" w:ascii="Times New Roman" w:hAnsi="Times New Roman" w:eastAsia="宋体" w:cs="Times New Roman"/>
                      <w:b w:val="0"/>
                      <w:bCs w:val="0"/>
                      <w:sz w:val="21"/>
                      <w:szCs w:val="21"/>
                      <w:vertAlign w:val="baseline"/>
                      <w:lang w:val="en-US" w:eastAsia="zh-CN"/>
                    </w:rPr>
                    <w:t>废气通过</w:t>
                  </w:r>
                  <w:r>
                    <w:rPr>
                      <w:rFonts w:hint="default" w:ascii="Times New Roman" w:hAnsi="Times New Roman" w:eastAsia="宋体" w:cs="Times New Roman"/>
                      <w:b w:val="0"/>
                      <w:bCs w:val="0"/>
                      <w:sz w:val="21"/>
                      <w:szCs w:val="21"/>
                      <w:vertAlign w:val="baseline"/>
                      <w:lang w:val="en-US" w:eastAsia="zh-CN"/>
                    </w:rPr>
                    <w:t>碱淋喷洗装置和二级活性炭吸附装置，并达到相关标准后排放。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868" w:type="dxa"/>
                  <w:tcBorders>
                    <w:tl2br w:val="nil"/>
                    <w:tr2bl w:val="nil"/>
                  </w:tcBorders>
                  <w:vAlign w:val="center"/>
                </w:tcPr>
                <w:p>
                  <w:pPr>
                    <w:spacing w:line="240" w:lineRule="auto"/>
                    <w:jc w:val="both"/>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二）按照“雨污分流”的要求建设厂区雨、污水管网。废水主要为生活污水、纯水制备浓水、二道及三道清洗废水。清洗废水、纯水制备浓水经自建污水站处理，生活污水经化粪池处理以上废水达到《污水综合排放标准》(GB8978-1996)表4三级标准及污水处理厂接管要求后，接入黄海路南通市政污水管网送南通市东港排水有限公司处理后达标排放。</w:t>
                  </w:r>
                </w:p>
              </w:tc>
              <w:tc>
                <w:tcPr>
                  <w:tcW w:w="3438" w:type="dxa"/>
                  <w:tcBorders>
                    <w:tl2br w:val="nil"/>
                    <w:tr2bl w:val="nil"/>
                  </w:tcBorders>
                  <w:vAlign w:val="center"/>
                </w:tcPr>
                <w:p>
                  <w:pPr>
                    <w:spacing w:line="240" w:lineRule="auto"/>
                    <w:jc w:val="center"/>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已落实，</w:t>
                  </w:r>
                  <w:r>
                    <w:rPr>
                      <w:rFonts w:hint="default" w:ascii="Times New Roman" w:hAnsi="Times New Roman" w:eastAsia="宋体" w:cs="Times New Roman"/>
                      <w:sz w:val="21"/>
                      <w:szCs w:val="21"/>
                      <w:vertAlign w:val="baseline"/>
                      <w:lang w:val="en-US" w:eastAsia="zh-CN"/>
                    </w:rPr>
                    <w:t>生活污水经厂区内化粪池预处理达到接管标准后排入</w:t>
                  </w:r>
                  <w:r>
                    <w:rPr>
                      <w:rFonts w:hint="default" w:ascii="Times New Roman" w:hAnsi="Times New Roman" w:cs="Times New Roman"/>
                      <w:b w:val="0"/>
                      <w:bCs/>
                      <w:sz w:val="21"/>
                      <w:szCs w:val="21"/>
                      <w:vertAlign w:val="baseline"/>
                      <w:lang w:val="en-US" w:eastAsia="zh-CN"/>
                    </w:rPr>
                    <w:t>南通市东港排水有限公司</w:t>
                  </w:r>
                  <w:r>
                    <w:rPr>
                      <w:rFonts w:hint="default" w:ascii="Times New Roman" w:hAnsi="Times New Roman" w:eastAsia="宋体" w:cs="Times New Roman"/>
                      <w:sz w:val="21"/>
                      <w:szCs w:val="21"/>
                      <w:vertAlign w:val="baseline"/>
                      <w:lang w:val="en-US" w:eastAsia="zh-CN"/>
                    </w:rPr>
                    <w:t>处理；废水经污水处理站处理后排入入</w:t>
                  </w:r>
                  <w:r>
                    <w:rPr>
                      <w:rFonts w:hint="default" w:ascii="Times New Roman" w:hAnsi="Times New Roman" w:cs="Times New Roman"/>
                      <w:b w:val="0"/>
                      <w:bCs/>
                      <w:sz w:val="21"/>
                      <w:szCs w:val="21"/>
                      <w:vertAlign w:val="baseline"/>
                      <w:lang w:val="en-US" w:eastAsia="zh-CN"/>
                    </w:rPr>
                    <w:t>南通市东港排水有限公司。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868" w:type="dxa"/>
                  <w:tcBorders>
                    <w:tl2br w:val="nil"/>
                    <w:tr2bl w:val="nil"/>
                  </w:tcBorders>
                  <w:vAlign w:val="center"/>
                </w:tcPr>
                <w:p>
                  <w:pPr>
                    <w:adjustRightInd w:val="0"/>
                    <w:snapToGrid w:val="0"/>
                    <w:spacing w:line="240" w:lineRule="auto"/>
                    <w:jc w:val="both"/>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（三）合理设置总平布局，高噪声源应尽量远离厂界，优先选用低噪声、自动化程度高的设备，并采取有效隔声降噪和减振措施，确保厂界噪声符合《工业企业厂界环境噪声排放标准》(GB12348-2008)中2类昼间标准。</w:t>
                  </w:r>
                </w:p>
              </w:tc>
              <w:tc>
                <w:tcPr>
                  <w:tcW w:w="3438" w:type="dxa"/>
                  <w:tcBorders>
                    <w:tl2br w:val="nil"/>
                    <w:tr2bl w:val="nil"/>
                  </w:tcBorders>
                  <w:vAlign w:val="center"/>
                </w:tcPr>
                <w:p>
                  <w:pPr>
                    <w:spacing w:line="240" w:lineRule="auto"/>
                    <w:jc w:val="center"/>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已落实，已选用低噪声设备，并安装隔声罩、减振垫。</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868" w:type="dxa"/>
                  <w:tcBorders>
                    <w:tl2br w:val="nil"/>
                    <w:tr2bl w:val="nil"/>
                  </w:tcBorders>
                  <w:vAlign w:val="center"/>
                </w:tcPr>
                <w:p>
                  <w:pPr>
                    <w:spacing w:line="240" w:lineRule="auto"/>
                    <w:jc w:val="both"/>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四）按“减量化、资源化、无害化”的处置原则，落实各类固体废物的收集、处置和综合利用措施，实现固废零排放。一般工业固体废弃物须符合《一般固体废物贮存、处置场污染控制标准》(GB18599-2020)和相关管理要求。危废委托有资质的单位安全处置，暂存场所应按照《危险废物贮存污染控制标准》及(GB18597-2023)的要求落实防淋、防渗、防散失等相关措施。生活垃圾交由环卫部门处置，做到日产日清。</w:t>
                  </w:r>
                </w:p>
              </w:tc>
              <w:tc>
                <w:tcPr>
                  <w:tcW w:w="3438" w:type="dxa"/>
                  <w:tcBorders>
                    <w:tl2br w:val="nil"/>
                    <w:tr2bl w:val="nil"/>
                  </w:tcBorders>
                  <w:vAlign w:val="center"/>
                </w:tcPr>
                <w:p>
                  <w:pPr>
                    <w:spacing w:line="240" w:lineRule="auto"/>
                    <w:jc w:val="center"/>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已落实，本项目所产生的</w:t>
                  </w:r>
                  <w:r>
                    <w:rPr>
                      <w:rFonts w:hint="default" w:ascii="Times New Roman" w:hAnsi="Times New Roman" w:eastAsia="宋体" w:cs="Times New Roman"/>
                      <w:sz w:val="21"/>
                      <w:szCs w:val="21"/>
                      <w:lang w:val="en-US" w:eastAsia="zh-CN"/>
                    </w:rPr>
                    <w:t>废采样瓶、废玻璃瓶、废包装材料、废活性炭、废RO膜、生活垃圾、废化学试剂瓶、实验废液、废检测耗材、清洗废液、废活性炭均委托有资单位处理；生活垃圾由环卫部门定期处理。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868" w:type="dxa"/>
                  <w:tcBorders>
                    <w:tl2br w:val="nil"/>
                    <w:tr2bl w:val="nil"/>
                  </w:tcBorders>
                  <w:vAlign w:val="center"/>
                </w:tcPr>
                <w:p>
                  <w:pPr>
                    <w:adjustRightInd w:val="0"/>
                    <w:snapToGrid w:val="0"/>
                    <w:spacing w:line="240" w:lineRule="auto"/>
                    <w:jc w:val="both"/>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五）进一步规范环保管理规章制度，落实相应环境风险防范措施，开展安全风险辨识管控，严格依据标准规范建设环境治理设施等，确保环境安全。按照《建设项目环境影响评价信息公开机制方案》(环发[2015162号)做好建设项目开工前、施工期和建成后的信息公开工作。</w:t>
                  </w:r>
                </w:p>
              </w:tc>
              <w:tc>
                <w:tcPr>
                  <w:tcW w:w="3438" w:type="dxa"/>
                  <w:tcBorders>
                    <w:tl2br w:val="nil"/>
                    <w:tr2bl w:val="nil"/>
                  </w:tcBorders>
                  <w:vAlign w:val="center"/>
                </w:tcPr>
                <w:p>
                  <w:pPr>
                    <w:spacing w:line="240" w:lineRule="auto"/>
                    <w:jc w:val="center"/>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已落实，加强员工风险防范意识，开展安全风险培训；项目建设期间做好信息公开工作。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868" w:type="dxa"/>
                  <w:tcBorders>
                    <w:tl2br w:val="nil"/>
                    <w:tr2bl w:val="nil"/>
                  </w:tcBorders>
                  <w:vAlign w:val="center"/>
                </w:tcPr>
                <w:p>
                  <w:pPr>
                    <w:adjustRightInd w:val="0"/>
                    <w:snapToGrid w:val="0"/>
                    <w:spacing w:line="240" w:lineRule="auto"/>
                    <w:jc w:val="both"/>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（六）按照《江苏省排污口设置及规范化整治管理办法》要求，规范设置排污口，树立标志牌。</w:t>
                  </w:r>
                </w:p>
              </w:tc>
              <w:tc>
                <w:tcPr>
                  <w:tcW w:w="3438" w:type="dxa"/>
                  <w:tcBorders>
                    <w:tl2br w:val="nil"/>
                    <w:tr2bl w:val="nil"/>
                  </w:tcBorders>
                  <w:vAlign w:val="center"/>
                </w:tcPr>
                <w:p>
                  <w:pPr>
                    <w:spacing w:line="240" w:lineRule="auto"/>
                    <w:jc w:val="center"/>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已落实，设置排污口，并树立相关标示牌。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868" w:type="dxa"/>
                  <w:tcBorders>
                    <w:tl2br w:val="nil"/>
                    <w:tr2bl w:val="nil"/>
                  </w:tcBorders>
                  <w:vAlign w:val="center"/>
                </w:tcPr>
                <w:p>
                  <w:pPr>
                    <w:adjustRightInd w:val="0"/>
                    <w:snapToGrid w:val="0"/>
                    <w:spacing w:line="240" w:lineRule="auto"/>
                    <w:jc w:val="both"/>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项目建设必须严格执行配套的环保设施与主体工程同时设计、同时施工、同时投入使用的环保“三同时”制度。项目竣工后，须按规定程序进行竣工环境保护验收。项目验收合格后,方可正式投入使用。</w:t>
                  </w:r>
                </w:p>
              </w:tc>
              <w:tc>
                <w:tcPr>
                  <w:tcW w:w="3438" w:type="dxa"/>
                  <w:tcBorders>
                    <w:tl2br w:val="nil"/>
                    <w:tr2bl w:val="nil"/>
                  </w:tcBorders>
                  <w:vAlign w:val="center"/>
                </w:tcPr>
                <w:p>
                  <w:pPr>
                    <w:spacing w:line="240" w:lineRule="auto"/>
                    <w:jc w:val="center"/>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项目严格执行环保“三同时”制度</w:t>
                  </w:r>
                  <w:r>
                    <w:rPr>
                      <w:rFonts w:hint="default" w:ascii="Times New Roman" w:hAnsi="Times New Roman" w:eastAsia="宋体" w:cs="Times New Roman"/>
                      <w:b w:val="0"/>
                      <w:bCs w:val="0"/>
                      <w:sz w:val="21"/>
                      <w:szCs w:val="21"/>
                      <w:vertAlign w:val="baseline"/>
                      <w:lang w:val="en-US" w:eastAsia="zh-CN"/>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4868" w:type="dxa"/>
                  <w:tcBorders>
                    <w:tl2br w:val="nil"/>
                    <w:tr2bl w:val="nil"/>
                  </w:tcBorders>
                  <w:vAlign w:val="center"/>
                </w:tcPr>
                <w:p>
                  <w:pPr>
                    <w:adjustRightInd w:val="0"/>
                    <w:snapToGrid w:val="0"/>
                    <w:spacing w:line="240" w:lineRule="auto"/>
                    <w:jc w:val="both"/>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（七）</w:t>
                  </w:r>
                  <w:r>
                    <w:rPr>
                      <w:rFonts w:hint="default" w:ascii="Times New Roman" w:hAnsi="Times New Roman" w:eastAsia="宋体" w:cs="Times New Roman"/>
                      <w:b w:val="0"/>
                      <w:bCs w:val="0"/>
                      <w:sz w:val="21"/>
                      <w:szCs w:val="21"/>
                      <w:vertAlign w:val="baseline"/>
                      <w:lang w:val="en-US" w:eastAsia="zh-CN"/>
                    </w:rPr>
                    <w:t>该环境影响评价文件经审批后，项目的性质、规模、地点、采用的生产工艺或者防治污染、防止生态破坏的措施发生重大变动的，建设单位应当重新报批建设项目的环境影响评价文件。</w:t>
                  </w:r>
                </w:p>
              </w:tc>
              <w:tc>
                <w:tcPr>
                  <w:tcW w:w="3438" w:type="dxa"/>
                  <w:tcBorders>
                    <w:tl2br w:val="nil"/>
                    <w:tr2bl w:val="nil"/>
                  </w:tcBorders>
                  <w:vAlign w:val="center"/>
                </w:tcPr>
                <w:p>
                  <w:pPr>
                    <w:spacing w:line="240" w:lineRule="auto"/>
                    <w:jc w:val="center"/>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已落实。</w:t>
                  </w:r>
                </w:p>
              </w:tc>
            </w:tr>
          </w:tbl>
          <w:p>
            <w:pPr>
              <w:jc w:val="left"/>
              <w:rPr>
                <w:rFonts w:hint="default" w:ascii="Times New Roman" w:hAnsi="Times New Roman" w:eastAsia="宋体" w:cs="Times New Roman"/>
                <w:b w:val="0"/>
                <w:bCs/>
                <w:sz w:val="24"/>
                <w:szCs w:val="24"/>
                <w:lang w:val="en-US" w:eastAsia="zh-CN"/>
              </w:rPr>
            </w:pPr>
          </w:p>
          <w:p>
            <w:pPr>
              <w:jc w:val="left"/>
              <w:rPr>
                <w:rFonts w:hint="default" w:ascii="Times New Roman" w:hAnsi="Times New Roman" w:eastAsia="宋体" w:cs="Times New Roman"/>
                <w:b w:val="0"/>
                <w:bCs/>
                <w:sz w:val="24"/>
                <w:szCs w:val="24"/>
                <w:lang w:val="en-US" w:eastAsia="zh-CN"/>
              </w:rPr>
            </w:pPr>
          </w:p>
          <w:p>
            <w:pPr>
              <w:jc w:val="left"/>
              <w:rPr>
                <w:rFonts w:hint="default" w:ascii="Times New Roman" w:hAnsi="Times New Roman" w:eastAsia="宋体" w:cs="Times New Roman"/>
                <w:b w:val="0"/>
                <w:bCs/>
                <w:sz w:val="24"/>
                <w:szCs w:val="24"/>
                <w:lang w:val="en-US" w:eastAsia="zh-CN"/>
              </w:rPr>
            </w:pPr>
          </w:p>
          <w:p>
            <w:pPr>
              <w:jc w:val="left"/>
              <w:rPr>
                <w:rFonts w:hint="default" w:ascii="Times New Roman" w:hAnsi="Times New Roman" w:eastAsia="宋体" w:cs="Times New Roman"/>
                <w:b w:val="0"/>
                <w:bCs/>
                <w:sz w:val="24"/>
                <w:szCs w:val="24"/>
                <w:lang w:val="en-US" w:eastAsia="zh-CN"/>
              </w:rPr>
            </w:pPr>
          </w:p>
          <w:p>
            <w:pPr>
              <w:jc w:val="left"/>
              <w:rPr>
                <w:rFonts w:hint="default" w:ascii="Times New Roman" w:hAnsi="Times New Roman" w:eastAsia="宋体" w:cs="Times New Roman"/>
                <w:b w:val="0"/>
                <w:bCs/>
                <w:sz w:val="24"/>
                <w:szCs w:val="24"/>
                <w:lang w:val="en-US" w:eastAsia="zh-CN"/>
              </w:rPr>
            </w:pPr>
          </w:p>
          <w:p>
            <w:pPr>
              <w:jc w:val="left"/>
              <w:rPr>
                <w:rFonts w:hint="default" w:ascii="Times New Roman" w:hAnsi="Times New Roman" w:eastAsia="宋体" w:cs="Times New Roman"/>
                <w:b w:val="0"/>
                <w:bCs/>
                <w:sz w:val="24"/>
                <w:szCs w:val="24"/>
                <w:lang w:val="en-US" w:eastAsia="zh-CN"/>
              </w:rPr>
            </w:pPr>
          </w:p>
          <w:p>
            <w:pPr>
              <w:jc w:val="left"/>
              <w:rPr>
                <w:rFonts w:hint="default" w:ascii="Times New Roman" w:hAnsi="Times New Roman" w:eastAsia="宋体" w:cs="Times New Roman"/>
                <w:b w:val="0"/>
                <w:bCs/>
                <w:sz w:val="24"/>
                <w:szCs w:val="24"/>
                <w:lang w:val="en-US" w:eastAsia="zh-CN"/>
              </w:rPr>
            </w:pPr>
          </w:p>
          <w:p>
            <w:pPr>
              <w:jc w:val="left"/>
              <w:rPr>
                <w:rFonts w:hint="default" w:ascii="Times New Roman" w:hAnsi="Times New Roman" w:eastAsia="宋体" w:cs="Times New Roman"/>
                <w:b w:val="0"/>
                <w:bCs/>
                <w:sz w:val="24"/>
                <w:szCs w:val="24"/>
                <w:lang w:val="en-US" w:eastAsia="zh-CN"/>
              </w:rPr>
            </w:pPr>
          </w:p>
          <w:p>
            <w:pPr>
              <w:jc w:val="left"/>
              <w:rPr>
                <w:rFonts w:hint="default" w:ascii="Times New Roman" w:hAnsi="Times New Roman" w:eastAsia="宋体" w:cs="Times New Roman"/>
                <w:b w:val="0"/>
                <w:bCs/>
                <w:sz w:val="24"/>
                <w:szCs w:val="24"/>
                <w:lang w:val="en-US" w:eastAsia="zh-CN"/>
              </w:rPr>
            </w:pPr>
          </w:p>
          <w:p>
            <w:pPr>
              <w:pStyle w:val="23"/>
              <w:widowControl w:val="0"/>
              <w:ind w:left="0" w:leftChars="0" w:firstLine="0" w:firstLineChars="0"/>
              <w:rPr>
                <w:rFonts w:hint="default"/>
                <w:lang w:val="en-US" w:eastAsia="zh-CN"/>
              </w:rPr>
            </w:pPr>
          </w:p>
        </w:tc>
      </w:tr>
    </w:tbl>
    <w:p>
      <w:pPr>
        <w:rPr>
          <w:rFonts w:hint="eastAsia"/>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bidi w:val="0"/>
        <w:rPr>
          <w:rFonts w:hint="eastAsia" w:ascii="宋体" w:hAnsi="宋体" w:eastAsia="宋体" w:cs="宋体"/>
          <w:sz w:val="32"/>
          <w:szCs w:val="20"/>
          <w:lang w:val="en-US" w:eastAsia="zh-CN"/>
        </w:rPr>
      </w:pPr>
      <w:bookmarkStart w:id="98" w:name="_Toc17054"/>
      <w:r>
        <w:rPr>
          <w:rFonts w:hint="eastAsia" w:ascii="宋体" w:hAnsi="宋体" w:eastAsia="宋体" w:cs="宋体"/>
          <w:sz w:val="32"/>
          <w:szCs w:val="20"/>
          <w:lang w:val="en-US" w:eastAsia="zh-CN"/>
        </w:rPr>
        <w:t>表五</w:t>
      </w:r>
      <w:bookmarkEnd w:id="98"/>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hint="default" w:ascii="Times New Roman" w:hAnsi="Times New Roman" w:eastAsia="宋体" w:cs="Times New Roman"/>
                <w:b/>
                <w:sz w:val="24"/>
              </w:rPr>
            </w:pPr>
            <w:r>
              <w:rPr>
                <w:rFonts w:hint="default" w:ascii="Times New Roman" w:hAnsi="Times New Roman" w:eastAsia="宋体" w:cs="Times New Roman"/>
                <w:b/>
                <w:sz w:val="24"/>
              </w:rPr>
              <w:t>验收监测质量保证及质量控制：</w:t>
            </w:r>
          </w:p>
          <w:p>
            <w:pPr>
              <w:spacing w:line="360" w:lineRule="auto"/>
              <w:rPr>
                <w:rFonts w:hint="default" w:ascii="Times New Roman" w:hAnsi="Times New Roman" w:eastAsia="宋体" w:cs="Times New Roman"/>
                <w:b/>
                <w:sz w:val="24"/>
              </w:rPr>
            </w:pPr>
            <w:r>
              <w:rPr>
                <w:rFonts w:hint="default" w:ascii="Times New Roman" w:hAnsi="Times New Roman" w:eastAsia="宋体" w:cs="Times New Roman"/>
                <w:b/>
                <w:sz w:val="24"/>
              </w:rPr>
              <w:t>1、监测分析方法</w:t>
            </w:r>
          </w:p>
          <w:p>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监测单位布点、采样及分析测试方法均选用目前适用的国家标准分析方法、技术规范，且均具有CMA资质。监测分析方法详见表5-1</w:t>
            </w:r>
            <w:r>
              <w:rPr>
                <w:rFonts w:hint="default" w:ascii="Times New Roman" w:hAnsi="Times New Roman" w:eastAsia="宋体" w:cs="Times New Roman"/>
                <w:sz w:val="24"/>
                <w:lang w:eastAsia="zh-CN"/>
              </w:rPr>
              <w:t>、</w:t>
            </w:r>
            <w:r>
              <w:rPr>
                <w:rFonts w:hint="default" w:ascii="Times New Roman" w:hAnsi="Times New Roman" w:eastAsia="宋体" w:cs="Times New Roman"/>
                <w:sz w:val="24"/>
                <w:lang w:val="en-US" w:eastAsia="zh-CN"/>
              </w:rPr>
              <w:t>5-2、5-3</w:t>
            </w:r>
            <w:r>
              <w:rPr>
                <w:rFonts w:hint="default" w:ascii="Times New Roman" w:hAnsi="Times New Roman" w:eastAsia="宋体" w:cs="Times New Roman"/>
                <w:sz w:val="24"/>
              </w:rPr>
              <w:t>。</w:t>
            </w:r>
          </w:p>
          <w:p>
            <w:pPr>
              <w:spacing w:line="240" w:lineRule="auto"/>
              <w:jc w:val="center"/>
              <w:rPr>
                <w:rFonts w:hint="default" w:ascii="Times New Roman" w:hAnsi="Times New Roman" w:eastAsia="宋体" w:cs="Times New Roman"/>
                <w:b/>
                <w:color w:val="0D0D0D"/>
                <w:szCs w:val="21"/>
              </w:rPr>
            </w:pPr>
            <w:r>
              <w:rPr>
                <w:rFonts w:hint="default" w:ascii="Times New Roman" w:hAnsi="Times New Roman" w:eastAsia="宋体" w:cs="Times New Roman"/>
                <w:b/>
                <w:color w:val="0D0D0D"/>
                <w:szCs w:val="21"/>
              </w:rPr>
              <w:t>表</w:t>
            </w:r>
            <w:r>
              <w:rPr>
                <w:rFonts w:hint="default" w:ascii="Times New Roman" w:hAnsi="Times New Roman" w:eastAsia="宋体" w:cs="Times New Roman"/>
                <w:b/>
                <w:color w:val="0D0D0D"/>
                <w:szCs w:val="21"/>
                <w:lang w:val="en-US" w:eastAsia="zh-CN"/>
              </w:rPr>
              <w:t>5</w:t>
            </w:r>
            <w:r>
              <w:rPr>
                <w:rFonts w:hint="default" w:ascii="Times New Roman" w:hAnsi="Times New Roman" w:eastAsia="宋体" w:cs="Times New Roman"/>
                <w:b/>
                <w:color w:val="0D0D0D"/>
                <w:szCs w:val="21"/>
              </w:rPr>
              <w:t>-1</w:t>
            </w:r>
            <w:r>
              <w:rPr>
                <w:rFonts w:hint="default" w:ascii="Times New Roman" w:hAnsi="Times New Roman" w:eastAsia="宋体" w:cs="Times New Roman"/>
                <w:b/>
                <w:color w:val="0D0D0D"/>
                <w:szCs w:val="21"/>
                <w:lang w:val="en-US" w:eastAsia="zh-CN"/>
              </w:rPr>
              <w:t xml:space="preserve"> </w:t>
            </w:r>
            <w:r>
              <w:rPr>
                <w:rFonts w:hint="default" w:ascii="Times New Roman" w:hAnsi="Times New Roman" w:eastAsia="宋体" w:cs="Times New Roman"/>
                <w:b/>
                <w:color w:val="0D0D0D"/>
                <w:szCs w:val="21"/>
              </w:rPr>
              <w:t xml:space="preserve"> 废水监测分析方法</w:t>
            </w:r>
          </w:p>
          <w:tbl>
            <w:tblPr>
              <w:tblStyle w:val="2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702"/>
              <w:gridCol w:w="1241"/>
              <w:gridCol w:w="636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noWrap w:val="0"/>
                  <w:vAlign w:val="center"/>
                </w:tcPr>
                <w:p>
                  <w:pPr>
                    <w:keepNext w:val="0"/>
                    <w:keepLines w:val="0"/>
                    <w:pageBreakBefore w:val="0"/>
                    <w:widowControl w:val="0"/>
                    <w:wordWrap/>
                    <w:topLinePunct w:val="0"/>
                    <w:autoSpaceDE/>
                    <w:autoSpaceDN/>
                    <w:bidi w:val="0"/>
                    <w:snapToGrid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类型</w:t>
                  </w:r>
                </w:p>
              </w:tc>
              <w:tc>
                <w:tcPr>
                  <w:tcW w:w="747" w:type="pct"/>
                  <w:noWrap w:val="0"/>
                  <w:vAlign w:val="center"/>
                </w:tcPr>
                <w:p>
                  <w:pPr>
                    <w:keepNext w:val="0"/>
                    <w:keepLines w:val="0"/>
                    <w:pageBreakBefore w:val="0"/>
                    <w:widowControl w:val="0"/>
                    <w:wordWrap/>
                    <w:topLinePunct w:val="0"/>
                    <w:autoSpaceDE/>
                    <w:autoSpaceDN/>
                    <w:bidi w:val="0"/>
                    <w:snapToGrid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项目名称</w:t>
                  </w:r>
                </w:p>
              </w:tc>
              <w:tc>
                <w:tcPr>
                  <w:tcW w:w="3829" w:type="pct"/>
                  <w:noWrap w:val="0"/>
                  <w:vAlign w:val="center"/>
                </w:tcPr>
                <w:p>
                  <w:pPr>
                    <w:keepNext w:val="0"/>
                    <w:keepLines w:val="0"/>
                    <w:pageBreakBefore w:val="0"/>
                    <w:widowControl w:val="0"/>
                    <w:wordWrap/>
                    <w:topLinePunct w:val="0"/>
                    <w:autoSpaceDE/>
                    <w:autoSpaceDN/>
                    <w:bidi w:val="0"/>
                    <w:snapToGrid w:val="0"/>
                    <w:spacing w:line="240" w:lineRule="auto"/>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分析方法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restart"/>
                  <w:noWrap w:val="0"/>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废水</w:t>
                  </w:r>
                </w:p>
              </w:tc>
              <w:tc>
                <w:tcPr>
                  <w:tcW w:w="747" w:type="pct"/>
                  <w:noWrap w:val="0"/>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Cs/>
                      <w:sz w:val="21"/>
                      <w:szCs w:val="21"/>
                    </w:rPr>
                    <w:t>pH</w:t>
                  </w:r>
                </w:p>
              </w:tc>
              <w:tc>
                <w:tcPr>
                  <w:tcW w:w="3829"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水质 pH的测定 电极法 HJ 1147-2020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noWrap w:val="0"/>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COD</w:t>
                  </w:r>
                </w:p>
              </w:tc>
              <w:tc>
                <w:tcPr>
                  <w:tcW w:w="3829" w:type="pct"/>
                  <w:noWrap w:val="0"/>
                  <w:vAlign w:val="center"/>
                </w:tcPr>
                <w:p>
                  <w:pPr>
                    <w:pStyle w:val="28"/>
                    <w:keepNext w:val="0"/>
                    <w:keepLines w:val="0"/>
                    <w:pageBreakBefore w:val="0"/>
                    <w:widowControl w:val="0"/>
                    <w:kinsoku w:val="0"/>
                    <w:wordWrap/>
                    <w:overflowPunct w:val="0"/>
                    <w:topLinePunct w:val="0"/>
                    <w:autoSpaceDE/>
                    <w:autoSpaceDN/>
                    <w:bidi w:val="0"/>
                    <w:spacing w:before="0" w:line="240" w:lineRule="auto"/>
                    <w:ind w:left="0" w:left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水质 化学需氧量的测定 重铬酸盐法 HJ 828-2017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noWrap w:val="0"/>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SS</w:t>
                  </w:r>
                </w:p>
              </w:tc>
              <w:tc>
                <w:tcPr>
                  <w:tcW w:w="3829" w:type="pct"/>
                  <w:noWrap w:val="0"/>
                  <w:vAlign w:val="center"/>
                </w:tcPr>
                <w:p>
                  <w:pPr>
                    <w:pStyle w:val="28"/>
                    <w:keepNext w:val="0"/>
                    <w:keepLines w:val="0"/>
                    <w:pageBreakBefore w:val="0"/>
                    <w:widowControl w:val="0"/>
                    <w:kinsoku w:val="0"/>
                    <w:wordWrap/>
                    <w:overflowPunct w:val="0"/>
                    <w:topLinePunct w:val="0"/>
                    <w:autoSpaceDE/>
                    <w:autoSpaceDN/>
                    <w:bidi w:val="0"/>
                    <w:spacing w:before="0" w:line="240" w:lineRule="auto"/>
                    <w:ind w:left="0" w:left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水质 悬浮物的测定 重量法</w:t>
                  </w:r>
                  <w:r>
                    <w:rPr>
                      <w:rFonts w:hint="default" w:ascii="Times New Roman" w:hAnsi="Times New Roman" w:eastAsia="宋体" w:cs="Times New Roman"/>
                      <w:kern w:val="2"/>
                      <w:sz w:val="21"/>
                      <w:szCs w:val="21"/>
                      <w:lang w:val="en-GB" w:eastAsia="zh-CN" w:bidi="ar-SA"/>
                    </w:rPr>
                    <w:t xml:space="preserve"> </w:t>
                  </w:r>
                  <w:r>
                    <w:rPr>
                      <w:rFonts w:hint="default" w:ascii="Times New Roman" w:hAnsi="Times New Roman" w:eastAsia="宋体" w:cs="Times New Roman"/>
                      <w:kern w:val="2"/>
                      <w:sz w:val="21"/>
                      <w:szCs w:val="21"/>
                      <w:lang w:val="en-US" w:eastAsia="zh-CN" w:bidi="ar-SA"/>
                    </w:rPr>
                    <w:t>GB/T 11901-1989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noWrap w:val="0"/>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color w:val="000000"/>
                      <w:sz w:val="21"/>
                      <w:szCs w:val="21"/>
                    </w:rPr>
                    <w:t>甲醛</w:t>
                  </w:r>
                </w:p>
              </w:tc>
              <w:tc>
                <w:tcPr>
                  <w:tcW w:w="3829" w:type="pct"/>
                  <w:noWrap w:val="0"/>
                  <w:vAlign w:val="center"/>
                </w:tcPr>
                <w:p>
                  <w:pPr>
                    <w:pStyle w:val="28"/>
                    <w:keepNext w:val="0"/>
                    <w:keepLines w:val="0"/>
                    <w:pageBreakBefore w:val="0"/>
                    <w:widowControl w:val="0"/>
                    <w:kinsoku w:val="0"/>
                    <w:wordWrap/>
                    <w:overflowPunct w:val="0"/>
                    <w:topLinePunct w:val="0"/>
                    <w:autoSpaceDE/>
                    <w:autoSpaceDN/>
                    <w:bidi w:val="0"/>
                    <w:spacing w:before="0" w:line="240" w:lineRule="auto"/>
                    <w:ind w:left="0" w:left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水质 甲醛的测定 乙酰丙酮分光光度法 HJ601-2011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noWrap w:val="0"/>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sz w:val="21"/>
                      <w:szCs w:val="21"/>
                    </w:rPr>
                    <w:t>三氯甲烷</w:t>
                  </w:r>
                </w:p>
              </w:tc>
              <w:tc>
                <w:tcPr>
                  <w:tcW w:w="3829" w:type="pct"/>
                  <w:noWrap w:val="0"/>
                  <w:vAlign w:val="center"/>
                </w:tcPr>
                <w:p>
                  <w:pPr>
                    <w:pStyle w:val="28"/>
                    <w:keepNext w:val="0"/>
                    <w:keepLines w:val="0"/>
                    <w:pageBreakBefore w:val="0"/>
                    <w:widowControl w:val="0"/>
                    <w:kinsoku w:val="0"/>
                    <w:wordWrap/>
                    <w:overflowPunct w:val="0"/>
                    <w:topLinePunct w:val="0"/>
                    <w:autoSpaceDE/>
                    <w:autoSpaceDN/>
                    <w:bidi w:val="0"/>
                    <w:spacing w:before="0" w:line="240" w:lineRule="auto"/>
                    <w:ind w:left="0" w:left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水质 挥发性有机物的测定 吹扫捕集/气相色谱-质谱法</w:t>
                  </w:r>
                  <w:r>
                    <w:rPr>
                      <w:rFonts w:hint="eastAsia" w:ascii="Times New Roman" w:hAnsi="Times New Roman" w:eastAsia="宋体" w:cs="Times New Roman"/>
                      <w:kern w:val="2"/>
                      <w:sz w:val="21"/>
                      <w:szCs w:val="21"/>
                      <w:lang w:val="en-US" w:eastAsia="zh-CN" w:bidi="ar-SA"/>
                    </w:rPr>
                    <w:t xml:space="preserve"> </w:t>
                  </w:r>
                  <w:r>
                    <w:rPr>
                      <w:rFonts w:hint="default" w:ascii="Times New Roman" w:hAnsi="Times New Roman" w:eastAsia="宋体" w:cs="Times New Roman"/>
                      <w:kern w:val="2"/>
                      <w:sz w:val="21"/>
                      <w:szCs w:val="21"/>
                      <w:lang w:val="en-US" w:eastAsia="zh-CN" w:bidi="ar-SA"/>
                    </w:rPr>
                    <w:t>HJ639-2012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noWrap w:val="0"/>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sz w:val="21"/>
                      <w:szCs w:val="21"/>
                    </w:rPr>
                    <w:t>总氰化物</w:t>
                  </w:r>
                </w:p>
              </w:tc>
              <w:tc>
                <w:tcPr>
                  <w:tcW w:w="3829" w:type="pct"/>
                  <w:noWrap w:val="0"/>
                  <w:vAlign w:val="center"/>
                </w:tcPr>
                <w:p>
                  <w:pPr>
                    <w:pStyle w:val="28"/>
                    <w:keepNext w:val="0"/>
                    <w:keepLines w:val="0"/>
                    <w:pageBreakBefore w:val="0"/>
                    <w:widowControl w:val="0"/>
                    <w:kinsoku w:val="0"/>
                    <w:wordWrap/>
                    <w:overflowPunct w:val="0"/>
                    <w:topLinePunct w:val="0"/>
                    <w:autoSpaceDE/>
                    <w:autoSpaceDN/>
                    <w:bidi w:val="0"/>
                    <w:spacing w:before="0" w:line="240" w:lineRule="auto"/>
                    <w:ind w:left="0" w:leftChars="0"/>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水质 氰化物的测定 容量法和分光光度法 </w:t>
                  </w:r>
                  <w:r>
                    <w:rPr>
                      <w:rFonts w:hint="default" w:ascii="Times New Roman" w:hAnsi="Times New Roman" w:eastAsia="宋体" w:cs="Times New Roman"/>
                      <w:kern w:val="2"/>
                      <w:sz w:val="21"/>
                      <w:szCs w:val="21"/>
                      <w:lang w:val="en-US" w:eastAsia="zh-CN" w:bidi="ar-SA"/>
                    </w:rPr>
                    <w:t>HJ 484-2009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sz w:val="21"/>
                      <w:szCs w:val="21"/>
                    </w:rPr>
                    <w:t>挥发酚</w:t>
                  </w:r>
                </w:p>
              </w:tc>
              <w:tc>
                <w:tcPr>
                  <w:tcW w:w="3829" w:type="pct"/>
                  <w:vAlign w:val="center"/>
                </w:tcPr>
                <w:p>
                  <w:pPr>
                    <w:pStyle w:val="28"/>
                    <w:keepNext w:val="0"/>
                    <w:keepLines w:val="0"/>
                    <w:pageBreakBefore w:val="0"/>
                    <w:widowControl w:val="0"/>
                    <w:kinsoku w:val="0"/>
                    <w:wordWrap/>
                    <w:overflowPunct w:val="0"/>
                    <w:topLinePunct w:val="0"/>
                    <w:autoSpaceDE/>
                    <w:autoSpaceDN/>
                    <w:bidi w:val="0"/>
                    <w:spacing w:before="0" w:line="240" w:lineRule="auto"/>
                    <w:ind w:left="0" w:leftChars="0"/>
                    <w:jc w:val="center"/>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kern w:val="2"/>
                      <w:sz w:val="21"/>
                      <w:szCs w:val="21"/>
                      <w:lang w:val="en-US" w:eastAsia="zh-CN" w:bidi="ar-SA"/>
                    </w:rPr>
                    <w:t>水质 挥发酚的测定 4-氨基安替比林分光光度法 HJ503-2009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sz w:val="21"/>
                      <w:szCs w:val="21"/>
                    </w:rPr>
                    <w:t>四氯乙烯</w:t>
                  </w:r>
                </w:p>
              </w:tc>
              <w:tc>
                <w:tcPr>
                  <w:tcW w:w="3829" w:type="pct"/>
                  <w:vAlign w:val="center"/>
                </w:tcPr>
                <w:p>
                  <w:pPr>
                    <w:pStyle w:val="28"/>
                    <w:keepNext w:val="0"/>
                    <w:keepLines w:val="0"/>
                    <w:pageBreakBefore w:val="0"/>
                    <w:widowControl w:val="0"/>
                    <w:kinsoku w:val="0"/>
                    <w:wordWrap/>
                    <w:overflowPunct w:val="0"/>
                    <w:topLinePunct w:val="0"/>
                    <w:autoSpaceDE/>
                    <w:autoSpaceDN/>
                    <w:bidi w:val="0"/>
                    <w:spacing w:before="0" w:line="240" w:lineRule="auto"/>
                    <w:ind w:left="0" w:leftChars="0"/>
                    <w:jc w:val="center"/>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kern w:val="2"/>
                      <w:sz w:val="21"/>
                      <w:szCs w:val="21"/>
                      <w:lang w:val="en-US" w:eastAsia="zh-CN" w:bidi="ar-SA"/>
                    </w:rPr>
                    <w:t>水质 挥发性有机物的测定 吹扫捕集/气相色谱-质谱法</w:t>
                  </w:r>
                  <w:r>
                    <w:rPr>
                      <w:rFonts w:hint="eastAsia" w:ascii="Times New Roman" w:hAnsi="Times New Roman" w:eastAsia="宋体" w:cs="Times New Roman"/>
                      <w:kern w:val="2"/>
                      <w:sz w:val="21"/>
                      <w:szCs w:val="21"/>
                      <w:lang w:val="en-US" w:eastAsia="zh-CN" w:bidi="ar-SA"/>
                    </w:rPr>
                    <w:t xml:space="preserve"> </w:t>
                  </w:r>
                  <w:r>
                    <w:rPr>
                      <w:rFonts w:hint="default" w:ascii="Times New Roman" w:hAnsi="Times New Roman" w:eastAsia="宋体" w:cs="Times New Roman"/>
                      <w:kern w:val="2"/>
                      <w:sz w:val="21"/>
                      <w:szCs w:val="21"/>
                      <w:lang w:val="en-US" w:eastAsia="zh-CN" w:bidi="ar-SA"/>
                    </w:rPr>
                    <w:t>HJ639-2012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氨氮</w:t>
                  </w:r>
                </w:p>
              </w:tc>
              <w:tc>
                <w:tcPr>
                  <w:tcW w:w="3829"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kern w:val="2"/>
                      <w:sz w:val="21"/>
                      <w:szCs w:val="21"/>
                      <w:lang w:val="en-US" w:eastAsia="zh-CN" w:bidi="ar-SA"/>
                    </w:rPr>
                    <w:t>水质 氨氮的测定 纳氏试剂分光光度法 HJ 535-2009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总氮</w:t>
                  </w:r>
                </w:p>
              </w:tc>
              <w:tc>
                <w:tcPr>
                  <w:tcW w:w="3829"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水质 总氮的测定 碱性过硫酸钾消解紫外分光光度法 </w:t>
                  </w:r>
                  <w:r>
                    <w:rPr>
                      <w:rFonts w:hint="default" w:ascii="Times New Roman" w:hAnsi="Times New Roman" w:eastAsia="宋体" w:cs="Times New Roman"/>
                      <w:kern w:val="2"/>
                      <w:sz w:val="21"/>
                      <w:szCs w:val="21"/>
                      <w:lang w:val="en-US" w:eastAsia="zh-CN" w:bidi="ar-SA"/>
                    </w:rPr>
                    <w:t>HJ 636-2012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总磷（以P计）</w:t>
                  </w:r>
                </w:p>
              </w:tc>
              <w:tc>
                <w:tcPr>
                  <w:tcW w:w="3829"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kern w:val="2"/>
                      <w:sz w:val="21"/>
                      <w:szCs w:val="21"/>
                      <w:lang w:val="en-US" w:eastAsia="zh-CN" w:bidi="ar-SA"/>
                    </w:rPr>
                    <w:t>水质 总磷的测定 钼酸铵分光光度法</w:t>
                  </w:r>
                  <w:r>
                    <w:rPr>
                      <w:rFonts w:hint="default" w:ascii="Times New Roman" w:hAnsi="Times New Roman" w:eastAsia="宋体" w:cs="Times New Roman"/>
                      <w:kern w:val="2"/>
                      <w:sz w:val="21"/>
                      <w:szCs w:val="21"/>
                      <w:lang w:val="en-GB" w:eastAsia="zh-CN" w:bidi="ar-SA"/>
                    </w:rPr>
                    <w:t xml:space="preserve"> </w:t>
                  </w:r>
                  <w:r>
                    <w:rPr>
                      <w:rFonts w:hint="default" w:ascii="Times New Roman" w:hAnsi="Times New Roman" w:eastAsia="宋体" w:cs="Times New Roman"/>
                      <w:kern w:val="2"/>
                      <w:sz w:val="21"/>
                      <w:szCs w:val="21"/>
                      <w:lang w:val="en-US" w:eastAsia="zh-CN" w:bidi="ar-SA"/>
                    </w:rPr>
                    <w:t>GB/T 11893-1989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3" w:type="pct"/>
                  <w:vMerge w:val="continue"/>
                  <w:vAlign w:val="center"/>
                </w:tcPr>
                <w:p>
                  <w:pPr>
                    <w:keepNext w:val="0"/>
                    <w:keepLines w:val="0"/>
                    <w:pageBreakBefore w:val="0"/>
                    <w:widowControl w:val="0"/>
                    <w:wordWrap/>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747" w:type="pct"/>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color w:val="000000"/>
                      <w:sz w:val="21"/>
                      <w:szCs w:val="21"/>
                    </w:rPr>
                    <w:t>石油类</w:t>
                  </w:r>
                </w:p>
              </w:tc>
              <w:tc>
                <w:tcPr>
                  <w:tcW w:w="3829"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水质 石油类和动植物油类的测定 红外分光光度法 </w:t>
                  </w:r>
                  <w:r>
                    <w:rPr>
                      <w:rFonts w:hint="default" w:ascii="Times New Roman" w:hAnsi="Times New Roman" w:eastAsia="宋体" w:cs="Times New Roman"/>
                      <w:kern w:val="2"/>
                      <w:sz w:val="21"/>
                      <w:szCs w:val="21"/>
                      <w:lang w:val="en-US" w:eastAsia="zh-CN" w:bidi="ar-SA"/>
                    </w:rPr>
                    <w:t>HJ 637-2018</w:t>
                  </w:r>
                </w:p>
              </w:tc>
            </w:tr>
          </w:tbl>
          <w:p>
            <w:pPr>
              <w:spacing w:line="240" w:lineRule="auto"/>
              <w:jc w:val="center"/>
              <w:rPr>
                <w:rFonts w:hint="default" w:ascii="Times New Roman" w:hAnsi="Times New Roman" w:eastAsia="宋体" w:cs="Times New Roman"/>
                <w:b/>
                <w:color w:val="0D0D0D"/>
                <w:szCs w:val="21"/>
              </w:rPr>
            </w:pPr>
            <w:r>
              <w:rPr>
                <w:rFonts w:hint="default" w:ascii="Times New Roman" w:hAnsi="Times New Roman" w:eastAsia="宋体" w:cs="Times New Roman"/>
                <w:b/>
                <w:color w:val="0D0D0D"/>
                <w:szCs w:val="21"/>
              </w:rPr>
              <w:t>表</w:t>
            </w:r>
            <w:r>
              <w:rPr>
                <w:rFonts w:hint="default" w:ascii="Times New Roman" w:hAnsi="Times New Roman" w:eastAsia="宋体" w:cs="Times New Roman"/>
                <w:b/>
                <w:color w:val="0D0D0D"/>
                <w:szCs w:val="21"/>
                <w:lang w:val="en-US" w:eastAsia="zh-CN"/>
              </w:rPr>
              <w:t>5</w:t>
            </w:r>
            <w:r>
              <w:rPr>
                <w:rFonts w:hint="default" w:ascii="Times New Roman" w:hAnsi="Times New Roman" w:eastAsia="宋体" w:cs="Times New Roman"/>
                <w:b/>
                <w:color w:val="0D0D0D"/>
                <w:szCs w:val="21"/>
              </w:rPr>
              <w:t>-2  废气监测分析方法</w:t>
            </w:r>
          </w:p>
          <w:tbl>
            <w:tblPr>
              <w:tblStyle w:val="2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084"/>
              <w:gridCol w:w="1035"/>
              <w:gridCol w:w="618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53" w:type="pct"/>
                  <w:noWrap w:val="0"/>
                  <w:vAlign w:val="center"/>
                </w:tcPr>
                <w:p>
                  <w:pPr>
                    <w:keepNext w:val="0"/>
                    <w:keepLines w:val="0"/>
                    <w:pageBreakBefore w:val="0"/>
                    <w:widowControl w:val="0"/>
                    <w:wordWrap/>
                    <w:topLinePunct w:val="0"/>
                    <w:autoSpaceDE/>
                    <w:autoSpaceDN/>
                    <w:bidi w:val="0"/>
                    <w:adjustRightInd/>
                    <w:snapToGrid w:val="0"/>
                    <w:spacing w:line="240" w:lineRule="auto"/>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类型</w:t>
                  </w:r>
                </w:p>
              </w:tc>
              <w:tc>
                <w:tcPr>
                  <w:tcW w:w="623" w:type="pct"/>
                  <w:noWrap w:val="0"/>
                  <w:vAlign w:val="center"/>
                </w:tcPr>
                <w:p>
                  <w:pPr>
                    <w:keepNext w:val="0"/>
                    <w:keepLines w:val="0"/>
                    <w:pageBreakBefore w:val="0"/>
                    <w:widowControl w:val="0"/>
                    <w:wordWrap/>
                    <w:topLinePunct w:val="0"/>
                    <w:autoSpaceDE/>
                    <w:autoSpaceDN/>
                    <w:bidi w:val="0"/>
                    <w:adjustRightInd/>
                    <w:snapToGrid w:val="0"/>
                    <w:spacing w:line="240" w:lineRule="auto"/>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项目</w:t>
                  </w:r>
                </w:p>
              </w:tc>
              <w:tc>
                <w:tcPr>
                  <w:tcW w:w="3723" w:type="pct"/>
                  <w:noWrap w:val="0"/>
                  <w:vAlign w:val="center"/>
                </w:tcPr>
                <w:p>
                  <w:pPr>
                    <w:keepNext w:val="0"/>
                    <w:keepLines w:val="0"/>
                    <w:pageBreakBefore w:val="0"/>
                    <w:widowControl w:val="0"/>
                    <w:wordWrap/>
                    <w:topLinePunct w:val="0"/>
                    <w:autoSpaceDE/>
                    <w:autoSpaceDN/>
                    <w:bidi w:val="0"/>
                    <w:adjustRightInd/>
                    <w:snapToGrid w:val="0"/>
                    <w:spacing w:line="240" w:lineRule="auto"/>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分析方法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restart"/>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废气</w:t>
                  </w:r>
                </w:p>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eastAsia="zh-CN"/>
                    </w:rPr>
                    <w:t>（</w:t>
                  </w:r>
                  <w:r>
                    <w:rPr>
                      <w:rFonts w:hint="default" w:ascii="Times New Roman" w:hAnsi="Times New Roman" w:eastAsia="宋体" w:cs="Times New Roman"/>
                      <w:b w:val="0"/>
                      <w:bCs w:val="0"/>
                      <w:sz w:val="21"/>
                      <w:szCs w:val="21"/>
                      <w:lang w:val="en-US" w:eastAsia="zh-CN"/>
                    </w:rPr>
                    <w:t>有</w:t>
                  </w:r>
                  <w:r>
                    <w:rPr>
                      <w:rFonts w:hint="default" w:ascii="Times New Roman" w:hAnsi="Times New Roman" w:eastAsia="宋体" w:cs="Times New Roman"/>
                      <w:b w:val="0"/>
                      <w:bCs w:val="0"/>
                      <w:sz w:val="21"/>
                      <w:szCs w:val="21"/>
                      <w:lang w:eastAsia="zh-CN"/>
                    </w:rPr>
                    <w:t>组织）</w:t>
                  </w:r>
                </w:p>
              </w:tc>
              <w:tc>
                <w:tcPr>
                  <w:tcW w:w="623" w:type="pct"/>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氯化氢</w:t>
                  </w:r>
                </w:p>
              </w:tc>
              <w:tc>
                <w:tcPr>
                  <w:tcW w:w="3723" w:type="pct"/>
                  <w:noWrap w:val="0"/>
                  <w:vAlign w:val="top"/>
                </w:tcPr>
                <w:p>
                  <w:pPr>
                    <w:adjustRightInd w:val="0"/>
                    <w:snapToGrid w:val="0"/>
                    <w:jc w:val="center"/>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kern w:val="2"/>
                      <w:sz w:val="21"/>
                      <w:szCs w:val="21"/>
                      <w:lang w:val="en-US" w:eastAsia="zh-CN" w:bidi="ar-SA"/>
                    </w:rPr>
                    <w:t>环境空气和废气 氯化氢的测定 离子色谱法 HJ549-2016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硫酸雾</w:t>
                  </w:r>
                </w:p>
              </w:tc>
              <w:tc>
                <w:tcPr>
                  <w:tcW w:w="3723" w:type="pct"/>
                  <w:noWrap w:val="0"/>
                  <w:vAlign w:val="center"/>
                </w:tcPr>
                <w:p>
                  <w:pPr>
                    <w:adjustRightInd w:val="0"/>
                    <w:snapToGrid w:val="0"/>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kern w:val="2"/>
                      <w:sz w:val="21"/>
                      <w:szCs w:val="21"/>
                      <w:lang w:val="en-US" w:eastAsia="zh-CN" w:bidi="ar-SA"/>
                    </w:rPr>
                    <w:t>固定污染源废气 硫酸雾的测定 离子色谱法 HJ544-2016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氮氧化物</w:t>
                  </w:r>
                </w:p>
              </w:tc>
              <w:tc>
                <w:tcPr>
                  <w:tcW w:w="3723" w:type="pct"/>
                  <w:noWrap w:val="0"/>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spacing w:val="-5"/>
                      <w:kern w:val="2"/>
                      <w:sz w:val="21"/>
                      <w:szCs w:val="21"/>
                      <w:lang w:val="en-US" w:eastAsia="zh-CN" w:bidi="ar-SA"/>
                    </w:rPr>
                    <w:t>固定污染源废气 氮氧化物的测定定电位电解法 HJ 693-2014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四氯乙烯</w:t>
                  </w:r>
                </w:p>
              </w:tc>
              <w:tc>
                <w:tcPr>
                  <w:tcW w:w="3723" w:type="pct"/>
                  <w:noWrap w:val="0"/>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spacing w:val="-5"/>
                      <w:kern w:val="2"/>
                      <w:sz w:val="21"/>
                      <w:szCs w:val="21"/>
                      <w:lang w:val="en-US" w:eastAsia="zh-CN" w:bidi="ar-SA"/>
                    </w:rPr>
                    <w:t>固定污染源废气 挥发性卤代烃的测定 气袋采样-气相色谱法HJ1006-2018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center"/>
                    <w:rPr>
                      <w:rFonts w:hint="default" w:ascii="Times New Roman" w:hAnsi="Times New Roman" w:eastAsia="宋体" w:cs="Times New Roman"/>
                      <w:b w:val="0"/>
                      <w:bCs w:val="0"/>
                      <w:kern w:val="2"/>
                      <w:sz w:val="21"/>
                      <w:szCs w:val="21"/>
                      <w:lang w:val="en-US" w:eastAsia="zh-CN" w:bidi="ar-SA"/>
                    </w:rPr>
                  </w:pPr>
                  <w:bookmarkStart w:id="99" w:name="_Toc31637"/>
                  <w:r>
                    <w:rPr>
                      <w:rFonts w:hint="default" w:ascii="Times New Roman" w:hAnsi="Times New Roman" w:eastAsia="宋体" w:cs="Times New Roman"/>
                      <w:b w:val="0"/>
                      <w:bCs w:val="0"/>
                      <w:kern w:val="2"/>
                      <w:sz w:val="21"/>
                      <w:szCs w:val="21"/>
                      <w:lang w:val="en-US" w:eastAsia="zh-CN" w:bidi="ar-SA"/>
                    </w:rPr>
                    <w:t>氯气</w:t>
                  </w:r>
                  <w:bookmarkEnd w:id="99"/>
                </w:p>
              </w:tc>
              <w:tc>
                <w:tcPr>
                  <w:tcW w:w="3723" w:type="pct"/>
                  <w:noWrap w:val="0"/>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spacing w:val="-5"/>
                      <w:kern w:val="2"/>
                      <w:sz w:val="21"/>
                      <w:szCs w:val="21"/>
                      <w:lang w:val="en-US" w:eastAsia="zh-CN" w:bidi="ar-SA"/>
                    </w:rPr>
                    <w:t xml:space="preserve">固定污染源排气中氯气的测定甲基橙分光光度法 </w:t>
                  </w:r>
                  <w:r>
                    <w:rPr>
                      <w:rFonts w:hint="default" w:ascii="Times New Roman" w:hAnsi="Times New Roman" w:eastAsia="宋体" w:cs="Times New Roman"/>
                      <w:spacing w:val="-5"/>
                      <w:kern w:val="2"/>
                      <w:sz w:val="21"/>
                      <w:szCs w:val="21"/>
                      <w:lang w:val="en-US" w:eastAsia="zh-CN" w:bidi="ar-SA"/>
                    </w:rPr>
                    <w:t>HJ/T 30-1999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非甲烷总烃</w:t>
                  </w:r>
                </w:p>
              </w:tc>
              <w:tc>
                <w:tcPr>
                  <w:tcW w:w="3723" w:type="pct"/>
                  <w:noWrap w:val="0"/>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固定污染源 总烃、甲烷和非甲烷总烃的测定</w:t>
                  </w:r>
                </w:p>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kern w:val="2"/>
                      <w:sz w:val="21"/>
                      <w:szCs w:val="21"/>
                      <w:lang w:val="en-US" w:eastAsia="zh-CN" w:bidi="ar-SA"/>
                    </w:rPr>
                    <w:t>直接进样-气相色谱法 HJ 38-2017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甲醛</w:t>
                  </w:r>
                </w:p>
              </w:tc>
              <w:tc>
                <w:tcPr>
                  <w:tcW w:w="3723" w:type="pct"/>
                  <w:noWrap w:val="0"/>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kern w:val="2"/>
                      <w:sz w:val="21"/>
                      <w:szCs w:val="21"/>
                      <w:lang w:val="en-US" w:eastAsia="zh-CN" w:bidi="ar-SA"/>
                    </w:rPr>
                    <w:t>空气质量 甲醛的测定 乙酰丙酮分光光度法 GB/T 15516-1995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三氯甲烷</w:t>
                  </w:r>
                </w:p>
              </w:tc>
              <w:tc>
                <w:tcPr>
                  <w:tcW w:w="3723" w:type="pct"/>
                  <w:noWrap w:val="0"/>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jc w:val="center"/>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spacing w:val="-5"/>
                      <w:kern w:val="2"/>
                      <w:sz w:val="21"/>
                      <w:szCs w:val="21"/>
                      <w:lang w:val="en-US" w:eastAsia="zh-CN" w:bidi="ar-SA"/>
                    </w:rPr>
                    <w:t>固定污染源废气 挥发性卤代烃的测定 气袋采样-气相色谱法</w:t>
                  </w:r>
                  <w:r>
                    <w:rPr>
                      <w:rFonts w:hint="eastAsia" w:ascii="Times New Roman" w:hAnsi="Times New Roman" w:eastAsia="宋体" w:cs="Times New Roman"/>
                      <w:b w:val="0"/>
                      <w:bCs w:val="0"/>
                      <w:spacing w:val="-5"/>
                      <w:kern w:val="2"/>
                      <w:sz w:val="21"/>
                      <w:szCs w:val="21"/>
                      <w:lang w:val="en-US" w:eastAsia="zh-CN" w:bidi="ar-SA"/>
                    </w:rPr>
                    <w:t xml:space="preserve"> </w:t>
                  </w:r>
                  <w:r>
                    <w:rPr>
                      <w:rFonts w:hint="default" w:ascii="Times New Roman" w:hAnsi="Times New Roman" w:eastAsia="宋体" w:cs="Times New Roman"/>
                      <w:b w:val="0"/>
                      <w:bCs w:val="0"/>
                      <w:spacing w:val="-5"/>
                      <w:kern w:val="2"/>
                      <w:sz w:val="21"/>
                      <w:szCs w:val="21"/>
                      <w:lang w:val="en-US" w:eastAsia="zh-CN" w:bidi="ar-SA"/>
                    </w:rPr>
                    <w:t>HJ1006-2018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二硫化碳</w:t>
                  </w:r>
                </w:p>
              </w:tc>
              <w:tc>
                <w:tcPr>
                  <w:tcW w:w="3723" w:type="pct"/>
                  <w:noWrap w:val="0"/>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center"/>
                    <w:rPr>
                      <w:rFonts w:hint="default" w:ascii="Times New Roman" w:hAnsi="Times New Roman" w:eastAsia="宋体" w:cs="Times New Roman"/>
                      <w:b w:val="0"/>
                      <w:bCs w:val="0"/>
                      <w:kern w:val="2"/>
                      <w:sz w:val="21"/>
                      <w:szCs w:val="21"/>
                      <w:lang w:val="en-US" w:eastAsia="zh-CN" w:bidi="ar-SA"/>
                    </w:rPr>
                  </w:pPr>
                  <w:bookmarkStart w:id="100" w:name="_Toc6566"/>
                  <w:r>
                    <w:rPr>
                      <w:rFonts w:hint="default" w:ascii="Times New Roman" w:hAnsi="Times New Roman" w:eastAsia="宋体" w:cs="Times New Roman"/>
                      <w:b w:val="0"/>
                      <w:bCs w:val="0"/>
                      <w:kern w:val="2"/>
                      <w:sz w:val="21"/>
                      <w:szCs w:val="21"/>
                      <w:lang w:val="en-US" w:eastAsia="zh-CN" w:bidi="ar-SA"/>
                    </w:rPr>
                    <w:t>空气质量 二硫化碳的测定 二乙胺分光光度法 GB/T14680-</w:t>
                  </w:r>
                  <w:r>
                    <w:rPr>
                      <w:rFonts w:hint="eastAsia" w:ascii="Times New Roman" w:hAnsi="Times New Roman" w:cs="Times New Roman"/>
                      <w:b w:val="0"/>
                      <w:bCs w:val="0"/>
                      <w:kern w:val="2"/>
                      <w:sz w:val="21"/>
                      <w:szCs w:val="21"/>
                      <w:lang w:val="en-US" w:eastAsia="zh-CN" w:bidi="ar-SA"/>
                    </w:rPr>
                    <w:t>19</w:t>
                  </w:r>
                  <w:r>
                    <w:rPr>
                      <w:rFonts w:hint="default" w:ascii="Times New Roman" w:hAnsi="Times New Roman" w:eastAsia="宋体" w:cs="Times New Roman"/>
                      <w:b w:val="0"/>
                      <w:bCs w:val="0"/>
                      <w:kern w:val="2"/>
                      <w:sz w:val="21"/>
                      <w:szCs w:val="21"/>
                      <w:lang w:val="en-US" w:eastAsia="zh-CN" w:bidi="ar-SA"/>
                    </w:rPr>
                    <w:t>93</w:t>
                  </w:r>
                  <w:bookmarkEnd w:id="100"/>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eastAsia="宋体" w:cs="Times New Roman"/>
                      <w:snapToGrid w:val="0"/>
                      <w:kern w:val="0"/>
                      <w:sz w:val="21"/>
                      <w:szCs w:val="21"/>
                    </w:rPr>
                    <w:t>氨</w:t>
                  </w:r>
                </w:p>
              </w:tc>
              <w:tc>
                <w:tcPr>
                  <w:tcW w:w="3723" w:type="pct"/>
                  <w:noWrap w:val="0"/>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center"/>
                    <w:rPr>
                      <w:rFonts w:hint="default" w:ascii="Times New Roman" w:hAnsi="Times New Roman" w:eastAsia="宋体" w:cs="Times New Roman"/>
                      <w:b w:val="0"/>
                      <w:bCs w:val="0"/>
                      <w:kern w:val="2"/>
                      <w:sz w:val="21"/>
                      <w:szCs w:val="21"/>
                      <w:lang w:val="en-US" w:eastAsia="zh-CN" w:bidi="ar-SA"/>
                    </w:rPr>
                  </w:pPr>
                  <w:bookmarkStart w:id="101" w:name="_Toc17771"/>
                  <w:r>
                    <w:rPr>
                      <w:rFonts w:hint="default" w:ascii="Times New Roman" w:hAnsi="Times New Roman" w:eastAsia="宋体" w:cs="Times New Roman"/>
                      <w:b w:val="0"/>
                      <w:bCs w:val="0"/>
                      <w:kern w:val="2"/>
                      <w:sz w:val="21"/>
                      <w:szCs w:val="21"/>
                      <w:lang w:val="en-US" w:eastAsia="zh-CN" w:bidi="ar-SA"/>
                    </w:rPr>
                    <w:t>环境空气和废气氨的测定 纳氏试剂分光光度法 HJ533-2009</w:t>
                  </w:r>
                  <w:bookmarkEnd w:id="101"/>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restart"/>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废气</w:t>
                  </w:r>
                </w:p>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（无组织）</w:t>
                  </w:r>
                </w:p>
              </w:tc>
              <w:tc>
                <w:tcPr>
                  <w:tcW w:w="623" w:type="pct"/>
                  <w:noWrap w:val="0"/>
                  <w:vAlign w:val="center"/>
                </w:tcPr>
                <w:p>
                  <w:pPr>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氮氧化物</w:t>
                  </w:r>
                </w:p>
              </w:tc>
              <w:tc>
                <w:tcPr>
                  <w:tcW w:w="3723" w:type="pct"/>
                  <w:noWrap w:val="0"/>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sz w:val="21"/>
                      <w:szCs w:val="21"/>
                    </w:rPr>
                  </w:pPr>
                  <w:r>
                    <w:rPr>
                      <w:rFonts w:hint="eastAsia" w:ascii="Times New Roman" w:hAnsi="Times New Roman" w:eastAsia="宋体" w:cs="Times New Roman"/>
                      <w:kern w:val="2"/>
                      <w:sz w:val="21"/>
                      <w:szCs w:val="21"/>
                      <w:lang w:val="en-US" w:eastAsia="zh-CN" w:bidi="ar-SA"/>
                    </w:rPr>
                    <w:t xml:space="preserve">环境空气 氮氧化物（一氧化氮和二氧化氮）的测定 盐酸萘乙二胺分光光度法 </w:t>
                  </w:r>
                  <w:r>
                    <w:rPr>
                      <w:rFonts w:hint="default" w:ascii="Times New Roman" w:hAnsi="Times New Roman" w:eastAsia="宋体" w:cs="Times New Roman"/>
                      <w:kern w:val="2"/>
                      <w:sz w:val="21"/>
                      <w:szCs w:val="21"/>
                      <w:lang w:val="en-US" w:eastAsia="zh-CN" w:bidi="ar-SA"/>
                    </w:rPr>
                    <w:t>HJ 479-2009</w:t>
                  </w:r>
                  <w:r>
                    <w:rPr>
                      <w:rFonts w:hint="eastAsia" w:ascii="Times New Roman" w:hAnsi="Times New Roman" w:eastAsia="宋体" w:cs="Times New Roman"/>
                      <w:kern w:val="2"/>
                      <w:sz w:val="21"/>
                      <w:szCs w:val="21"/>
                      <w:lang w:val="en-US" w:eastAsia="zh-CN" w:bidi="ar-SA"/>
                    </w:rPr>
                    <w:t>及修改单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widowControl/>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非甲烷总烃</w:t>
                  </w:r>
                </w:p>
              </w:tc>
              <w:tc>
                <w:tcPr>
                  <w:tcW w:w="3723" w:type="pct"/>
                  <w:noWrap w:val="0"/>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环境空气 总烃、甲烷和非甲烷总烃的测定 直接进样</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气相色谱法</w:t>
                  </w:r>
                </w:p>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kern w:val="2"/>
                      <w:sz w:val="21"/>
                      <w:szCs w:val="21"/>
                      <w:lang w:val="en-US" w:eastAsia="zh-CN" w:bidi="ar-SA"/>
                    </w:rPr>
                    <w:t>HJ 604-2017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甲醛</w:t>
                  </w:r>
                </w:p>
              </w:tc>
              <w:tc>
                <w:tcPr>
                  <w:tcW w:w="3723" w:type="pct"/>
                  <w:noWrap w:val="0"/>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kern w:val="2"/>
                      <w:sz w:val="21"/>
                      <w:szCs w:val="21"/>
                      <w:lang w:val="en-US" w:eastAsia="zh-CN" w:bidi="ar-SA"/>
                    </w:rPr>
                    <w:t>空气质量 甲醛的测定 乙酰丙酮分光光度法 GB/T 15516-1995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53" w:type="pct"/>
                  <w:vMerge w:val="continue"/>
                  <w:noWrap w:val="0"/>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noWrap w:val="0"/>
                  <w:vAlign w:val="center"/>
                </w:tcPr>
                <w:p>
                  <w:pPr>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硫酸雾</w:t>
                  </w:r>
                </w:p>
              </w:tc>
              <w:tc>
                <w:tcPr>
                  <w:tcW w:w="3723" w:type="pct"/>
                  <w:noWrap w:val="0"/>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kern w:val="2"/>
                      <w:sz w:val="21"/>
                      <w:szCs w:val="21"/>
                      <w:lang w:val="en-US" w:eastAsia="zh-CN" w:bidi="ar-SA"/>
                    </w:rPr>
                    <w:t>固定污染源废气 硫酸雾的测定 离子色谱法 HJ544-2016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53" w:type="pct"/>
                  <w:vMerge w:val="continue"/>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vAlign w:val="center"/>
                </w:tcPr>
                <w:p>
                  <w:pPr>
                    <w:widowControl/>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四氯乙烯</w:t>
                  </w:r>
                </w:p>
              </w:tc>
              <w:tc>
                <w:tcPr>
                  <w:tcW w:w="3723" w:type="pct"/>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环境空气 挥发性有机物的测定</w:t>
                  </w:r>
                </w:p>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sz w:val="21"/>
                      <w:szCs w:val="21"/>
                    </w:rPr>
                  </w:pPr>
                  <w:r>
                    <w:rPr>
                      <w:rFonts w:hint="eastAsia" w:ascii="Times New Roman" w:hAnsi="Times New Roman" w:eastAsia="宋体" w:cs="Times New Roman"/>
                      <w:kern w:val="2"/>
                      <w:sz w:val="21"/>
                      <w:szCs w:val="21"/>
                      <w:lang w:val="en-US" w:eastAsia="zh-CN" w:bidi="ar-SA"/>
                    </w:rPr>
                    <w:t>吸附管采样</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热脱附</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气相色谱</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 xml:space="preserve">质谱法 </w:t>
                  </w:r>
                  <w:r>
                    <w:rPr>
                      <w:rFonts w:hint="default" w:ascii="Times New Roman" w:hAnsi="Times New Roman" w:eastAsia="宋体" w:cs="Times New Roman"/>
                      <w:kern w:val="2"/>
                      <w:sz w:val="21"/>
                      <w:szCs w:val="21"/>
                      <w:lang w:val="en-US" w:eastAsia="zh-CN" w:bidi="ar-SA"/>
                    </w:rPr>
                    <w:t>HJ 644-2013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53" w:type="pct"/>
                  <w:vMerge w:val="continue"/>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氯化氢</w:t>
                  </w:r>
                </w:p>
              </w:tc>
              <w:tc>
                <w:tcPr>
                  <w:tcW w:w="3723" w:type="pct"/>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kern w:val="2"/>
                      <w:sz w:val="21"/>
                      <w:szCs w:val="21"/>
                      <w:lang w:val="en-US" w:eastAsia="zh-CN" w:bidi="ar-SA"/>
                    </w:rPr>
                    <w:t>环境空气和废气 氯化氢的测定 离子色谱法 HJ549-2016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53" w:type="pct"/>
                  <w:vMerge w:val="continue"/>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三氯甲烷</w:t>
                  </w:r>
                </w:p>
              </w:tc>
              <w:tc>
                <w:tcPr>
                  <w:tcW w:w="3723" w:type="pct"/>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环境空气 挥发性有机物的测定</w:t>
                  </w:r>
                </w:p>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sz w:val="21"/>
                      <w:szCs w:val="21"/>
                    </w:rPr>
                  </w:pPr>
                  <w:r>
                    <w:rPr>
                      <w:rFonts w:hint="eastAsia" w:ascii="Times New Roman" w:hAnsi="Times New Roman" w:eastAsia="宋体" w:cs="Times New Roman"/>
                      <w:kern w:val="2"/>
                      <w:sz w:val="21"/>
                      <w:szCs w:val="21"/>
                      <w:lang w:val="en-US" w:eastAsia="zh-CN" w:bidi="ar-SA"/>
                    </w:rPr>
                    <w:t>吸附管采样</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热脱附</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气相色谱</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 xml:space="preserve">质谱法 </w:t>
                  </w:r>
                  <w:r>
                    <w:rPr>
                      <w:rFonts w:hint="default" w:ascii="Times New Roman" w:hAnsi="Times New Roman" w:eastAsia="宋体" w:cs="Times New Roman"/>
                      <w:kern w:val="2"/>
                      <w:sz w:val="21"/>
                      <w:szCs w:val="21"/>
                      <w:lang w:val="en-US" w:eastAsia="zh-CN" w:bidi="ar-SA"/>
                    </w:rPr>
                    <w:t>HJ 644-2013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53" w:type="pct"/>
                  <w:vMerge w:val="continue"/>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氯气</w:t>
                  </w:r>
                </w:p>
              </w:tc>
              <w:tc>
                <w:tcPr>
                  <w:tcW w:w="3723" w:type="pct"/>
                  <w:vAlign w:val="center"/>
                </w:tcPr>
                <w:p>
                  <w:pPr>
                    <w:pStyle w:val="28"/>
                    <w:keepNext w:val="0"/>
                    <w:keepLines w:val="0"/>
                    <w:pageBreakBefore w:val="0"/>
                    <w:widowControl w:val="0"/>
                    <w:kinsoku w:val="0"/>
                    <w:wordWrap/>
                    <w:overflowPunct w:val="0"/>
                    <w:topLinePunct w:val="0"/>
                    <w:autoSpaceDE/>
                    <w:autoSpaceDN/>
                    <w:bidi w:val="0"/>
                    <w:adjustRightInd/>
                    <w:spacing w:before="0" w:line="240" w:lineRule="auto"/>
                    <w:ind w:left="0" w:leftChars="0"/>
                    <w:jc w:val="center"/>
                    <w:textAlignment w:val="auto"/>
                    <w:rPr>
                      <w:rFonts w:hint="default" w:ascii="Times New Roman" w:hAnsi="Times New Roman" w:eastAsia="宋体" w:cs="Times New Roman"/>
                      <w:b w:val="0"/>
                      <w:bCs w:val="0"/>
                      <w:sz w:val="21"/>
                      <w:szCs w:val="21"/>
                    </w:rPr>
                  </w:pPr>
                  <w:r>
                    <w:rPr>
                      <w:rFonts w:hint="eastAsia" w:ascii="Times New Roman" w:hAnsi="Times New Roman" w:eastAsia="宋体" w:cs="Times New Roman"/>
                      <w:kern w:val="2"/>
                      <w:sz w:val="21"/>
                      <w:szCs w:val="21"/>
                      <w:lang w:val="en-US" w:eastAsia="zh-CN" w:bidi="ar-SA"/>
                    </w:rPr>
                    <w:t xml:space="preserve">固定污染源排气中氯气的测定甲基橙分光光度法 </w:t>
                  </w:r>
                  <w:r>
                    <w:rPr>
                      <w:rFonts w:hint="default" w:ascii="Times New Roman" w:hAnsi="Times New Roman" w:eastAsia="宋体" w:cs="Times New Roman"/>
                      <w:kern w:val="2"/>
                      <w:sz w:val="21"/>
                      <w:szCs w:val="21"/>
                      <w:lang w:val="en-US" w:eastAsia="zh-CN" w:bidi="ar-SA"/>
                    </w:rPr>
                    <w:t>HJ/T 30-1999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53" w:type="pct"/>
                  <w:vMerge w:val="continue"/>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二硫化碳</w:t>
                  </w:r>
                </w:p>
              </w:tc>
              <w:tc>
                <w:tcPr>
                  <w:tcW w:w="3723" w:type="pct"/>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rightChars="0" w:firstLine="0" w:firstLineChars="0"/>
                    <w:jc w:val="center"/>
                    <w:outlineLvl w:val="1"/>
                    <w:rPr>
                      <w:rFonts w:hint="default" w:ascii="Times New Roman" w:hAnsi="Times New Roman" w:eastAsia="宋体" w:cs="Times New Roman"/>
                      <w:b w:val="0"/>
                      <w:bCs w:val="0"/>
                      <w:kern w:val="2"/>
                      <w:sz w:val="21"/>
                      <w:szCs w:val="21"/>
                      <w:lang w:val="en-US" w:eastAsia="zh-CN" w:bidi="ar-SA"/>
                    </w:rPr>
                  </w:pPr>
                  <w:bookmarkStart w:id="102" w:name="_Toc28652"/>
                  <w:r>
                    <w:rPr>
                      <w:rFonts w:hint="default" w:ascii="Times New Roman" w:hAnsi="Times New Roman" w:eastAsia="宋体" w:cs="Times New Roman"/>
                      <w:b w:val="0"/>
                      <w:bCs w:val="0"/>
                      <w:kern w:val="2"/>
                      <w:sz w:val="21"/>
                      <w:szCs w:val="21"/>
                      <w:lang w:val="en-US" w:eastAsia="zh-CN" w:bidi="ar-SA"/>
                    </w:rPr>
                    <w:t>空气质量 二硫化碳的测定 二乙胺分光光度法 GB/T14680-</w:t>
                  </w:r>
                  <w:r>
                    <w:rPr>
                      <w:rFonts w:hint="eastAsia" w:ascii="Times New Roman" w:hAnsi="Times New Roman" w:cs="Times New Roman"/>
                      <w:b w:val="0"/>
                      <w:bCs w:val="0"/>
                      <w:kern w:val="2"/>
                      <w:sz w:val="21"/>
                      <w:szCs w:val="21"/>
                      <w:lang w:val="en-US" w:eastAsia="zh-CN" w:bidi="ar-SA"/>
                    </w:rPr>
                    <w:t>19</w:t>
                  </w:r>
                  <w:r>
                    <w:rPr>
                      <w:rFonts w:hint="default" w:ascii="Times New Roman" w:hAnsi="Times New Roman" w:eastAsia="宋体" w:cs="Times New Roman"/>
                      <w:b w:val="0"/>
                      <w:bCs w:val="0"/>
                      <w:kern w:val="2"/>
                      <w:sz w:val="21"/>
                      <w:szCs w:val="21"/>
                      <w:lang w:val="en-US" w:eastAsia="zh-CN" w:bidi="ar-SA"/>
                    </w:rPr>
                    <w:t>93</w:t>
                  </w:r>
                  <w:bookmarkEnd w:id="102"/>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53" w:type="pct"/>
                  <w:vMerge w:val="continue"/>
                  <w:vAlign w:val="center"/>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snapToGrid w:val="0"/>
                      <w:kern w:val="0"/>
                      <w:sz w:val="21"/>
                      <w:szCs w:val="21"/>
                    </w:rPr>
                    <w:t>氨</w:t>
                  </w:r>
                </w:p>
              </w:tc>
              <w:tc>
                <w:tcPr>
                  <w:tcW w:w="3723" w:type="pct"/>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rightChars="0" w:firstLine="0" w:firstLineChars="0"/>
                    <w:jc w:val="center"/>
                    <w:outlineLvl w:val="1"/>
                    <w:rPr>
                      <w:rFonts w:hint="default" w:ascii="Times New Roman" w:hAnsi="Times New Roman" w:eastAsia="宋体" w:cs="Times New Roman"/>
                      <w:b w:val="0"/>
                      <w:bCs w:val="0"/>
                      <w:kern w:val="2"/>
                      <w:sz w:val="21"/>
                      <w:szCs w:val="21"/>
                      <w:lang w:val="en-US" w:eastAsia="zh-CN" w:bidi="ar-SA"/>
                    </w:rPr>
                  </w:pPr>
                  <w:bookmarkStart w:id="103" w:name="_Toc28712"/>
                  <w:r>
                    <w:rPr>
                      <w:rFonts w:hint="default" w:ascii="Times New Roman" w:hAnsi="Times New Roman" w:eastAsia="宋体" w:cs="Times New Roman"/>
                      <w:b w:val="0"/>
                      <w:bCs w:val="0"/>
                      <w:kern w:val="2"/>
                      <w:sz w:val="21"/>
                      <w:szCs w:val="21"/>
                      <w:lang w:val="en-US" w:eastAsia="zh-CN" w:bidi="ar-SA"/>
                    </w:rPr>
                    <w:t>环境空气和废气氨的测定 纳氏试剂分光光度法 HJ533-2009</w:t>
                  </w:r>
                  <w:bookmarkEnd w:id="103"/>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53" w:type="pct"/>
                  <w:vMerge w:val="continue"/>
                </w:tcPr>
                <w:p>
                  <w:pPr>
                    <w:keepNext w:val="0"/>
                    <w:keepLines w:val="0"/>
                    <w:pageBreakBefore w:val="0"/>
                    <w:widowControl w:val="0"/>
                    <w:tabs>
                      <w:tab w:val="left" w:pos="1440"/>
                    </w:tabs>
                    <w:wordWrap/>
                    <w:topLinePunct w:val="0"/>
                    <w:autoSpaceDE/>
                    <w:autoSpaceDN/>
                    <w:bidi w:val="0"/>
                    <w:adjustRightInd/>
                    <w:spacing w:line="240" w:lineRule="auto"/>
                    <w:jc w:val="center"/>
                    <w:textAlignment w:val="auto"/>
                    <w:rPr>
                      <w:rFonts w:hint="default" w:ascii="Times New Roman" w:hAnsi="Times New Roman" w:eastAsia="宋体" w:cs="Times New Roman"/>
                      <w:b w:val="0"/>
                      <w:bCs w:val="0"/>
                      <w:sz w:val="21"/>
                      <w:szCs w:val="21"/>
                      <w:lang w:eastAsia="zh-CN"/>
                    </w:rPr>
                  </w:pPr>
                </w:p>
              </w:tc>
              <w:tc>
                <w:tcPr>
                  <w:tcW w:w="623" w:type="pct"/>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非甲烷总烃</w:t>
                  </w:r>
                </w:p>
              </w:tc>
              <w:tc>
                <w:tcPr>
                  <w:tcW w:w="3723" w:type="pct"/>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leftChars="0" w:right="0" w:rightChars="0" w:firstLine="0" w:firstLineChars="0"/>
                    <w:jc w:val="center"/>
                    <w:outlineLvl w:val="1"/>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环境空气 总烃、甲烷和非甲烷总烃的测定 直接进样</w:t>
                  </w:r>
                  <w:r>
                    <w:rPr>
                      <w:rFonts w:hint="default" w:ascii="Times New Roman" w:hAnsi="Times New Roman" w:eastAsia="宋体"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气相色谱法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leftChars="0" w:right="0" w:rightChars="0" w:firstLine="0" w:firstLineChars="0"/>
                    <w:jc w:val="center"/>
                    <w:outlineLvl w:val="1"/>
                    <w:rPr>
                      <w:rFonts w:hint="default" w:ascii="Times New Roman" w:hAnsi="Times New Roman" w:eastAsia="宋体" w:cs="Times New Roman"/>
                      <w:b w:val="0"/>
                      <w:bCs w:val="0"/>
                      <w:kern w:val="2"/>
                      <w:szCs w:val="21"/>
                      <w:lang w:val="en-US" w:eastAsia="zh-CN" w:bidi="ar-SA"/>
                    </w:rPr>
                  </w:pPr>
                  <w:r>
                    <w:rPr>
                      <w:rFonts w:hint="default" w:ascii="Times New Roman" w:hAnsi="Times New Roman" w:eastAsia="宋体" w:cs="Times New Roman"/>
                      <w:b w:val="0"/>
                      <w:bCs w:val="0"/>
                      <w:kern w:val="2"/>
                      <w:sz w:val="21"/>
                      <w:szCs w:val="21"/>
                      <w:lang w:val="en-US" w:eastAsia="zh-CN" w:bidi="ar-SA"/>
                    </w:rPr>
                    <w:t>HJ604-2017</w:t>
                  </w:r>
                </w:p>
              </w:tc>
            </w:tr>
          </w:tbl>
          <w:p>
            <w:pPr>
              <w:spacing w:line="240" w:lineRule="auto"/>
              <w:jc w:val="center"/>
              <w:rPr>
                <w:rFonts w:hint="default" w:ascii="Times New Roman" w:hAnsi="Times New Roman" w:eastAsia="宋体" w:cs="Times New Roman"/>
                <w:b/>
                <w:color w:val="0D0D0D"/>
                <w:szCs w:val="21"/>
              </w:rPr>
            </w:pPr>
            <w:r>
              <w:rPr>
                <w:rFonts w:hint="default" w:ascii="Times New Roman" w:hAnsi="Times New Roman" w:eastAsia="宋体" w:cs="Times New Roman"/>
                <w:b/>
                <w:color w:val="0D0D0D"/>
                <w:szCs w:val="21"/>
              </w:rPr>
              <w:t>表</w:t>
            </w:r>
            <w:r>
              <w:rPr>
                <w:rFonts w:hint="default" w:ascii="Times New Roman" w:hAnsi="Times New Roman" w:eastAsia="宋体" w:cs="Times New Roman"/>
                <w:b/>
                <w:color w:val="0D0D0D"/>
                <w:szCs w:val="21"/>
                <w:lang w:val="en-US" w:eastAsia="zh-CN"/>
              </w:rPr>
              <w:t>5</w:t>
            </w:r>
            <w:r>
              <w:rPr>
                <w:rFonts w:hint="default" w:ascii="Times New Roman" w:hAnsi="Times New Roman" w:eastAsia="宋体" w:cs="Times New Roman"/>
                <w:b/>
                <w:color w:val="0D0D0D"/>
                <w:szCs w:val="21"/>
              </w:rPr>
              <w:t>-3  噪声监测</w:t>
            </w:r>
            <w:r>
              <w:rPr>
                <w:rFonts w:hint="default" w:ascii="Times New Roman" w:hAnsi="Times New Roman" w:eastAsia="宋体" w:cs="Times New Roman"/>
                <w:b/>
                <w:color w:val="0D0D0D"/>
                <w:szCs w:val="21"/>
                <w:lang w:eastAsia="zh-CN"/>
              </w:rPr>
              <w:t>分析</w:t>
            </w:r>
            <w:r>
              <w:rPr>
                <w:rFonts w:hint="default" w:ascii="Times New Roman" w:hAnsi="Times New Roman" w:eastAsia="宋体" w:cs="Times New Roman"/>
                <w:b/>
                <w:color w:val="0D0D0D"/>
                <w:szCs w:val="21"/>
              </w:rPr>
              <w:t>方法</w:t>
            </w:r>
          </w:p>
          <w:tbl>
            <w:tblPr>
              <w:tblStyle w:val="20"/>
              <w:tblpPr w:leftFromText="180" w:rightFromText="180" w:vertAnchor="text" w:tblpXSpec="center" w:tblpY="1"/>
              <w:tblOverlap w:val="never"/>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697"/>
              <w:gridCol w:w="1394"/>
              <w:gridCol w:w="1562"/>
              <w:gridCol w:w="1224"/>
              <w:gridCol w:w="342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20" w:type="pct"/>
                  <w:vAlign w:val="center"/>
                </w:tcPr>
                <w:p>
                  <w:pPr>
                    <w:pStyle w:val="30"/>
                    <w:adjustRightInd w:val="0"/>
                    <w:snapToGrid w:val="0"/>
                    <w:ind w:firstLine="0" w:firstLineChars="0"/>
                    <w:jc w:val="center"/>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类别</w:t>
                  </w:r>
                </w:p>
              </w:tc>
              <w:tc>
                <w:tcPr>
                  <w:tcW w:w="839" w:type="pct"/>
                  <w:vAlign w:val="center"/>
                </w:tcPr>
                <w:p>
                  <w:pPr>
                    <w:pStyle w:val="30"/>
                    <w:adjustRightInd w:val="0"/>
                    <w:snapToGrid w:val="0"/>
                    <w:ind w:firstLine="0" w:firstLineChars="0"/>
                    <w:jc w:val="center"/>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监测位置</w:t>
                  </w:r>
                </w:p>
              </w:tc>
              <w:tc>
                <w:tcPr>
                  <w:tcW w:w="940" w:type="pct"/>
                  <w:vAlign w:val="center"/>
                </w:tcPr>
                <w:p>
                  <w:pPr>
                    <w:pStyle w:val="30"/>
                    <w:adjustRightInd w:val="0"/>
                    <w:snapToGrid w:val="0"/>
                    <w:ind w:firstLine="0" w:firstLineChars="0"/>
                    <w:jc w:val="center"/>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监测项目</w:t>
                  </w:r>
                </w:p>
              </w:tc>
              <w:tc>
                <w:tcPr>
                  <w:tcW w:w="737" w:type="pct"/>
                  <w:vAlign w:val="center"/>
                </w:tcPr>
                <w:p>
                  <w:pPr>
                    <w:pStyle w:val="30"/>
                    <w:adjustRightInd w:val="0"/>
                    <w:snapToGrid w:val="0"/>
                    <w:ind w:firstLine="0" w:firstLineChars="0"/>
                    <w:jc w:val="center"/>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监测频次</w:t>
                  </w:r>
                </w:p>
              </w:tc>
              <w:tc>
                <w:tcPr>
                  <w:tcW w:w="2064" w:type="pct"/>
                  <w:vAlign w:val="center"/>
                </w:tcPr>
                <w:p>
                  <w:pPr>
                    <w:pStyle w:val="30"/>
                    <w:adjustRightInd w:val="0"/>
                    <w:snapToGrid w:val="0"/>
                    <w:ind w:firstLine="0" w:firstLineChars="0"/>
                    <w:jc w:val="center"/>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执行排放标准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420" w:type="pct"/>
                  <w:vAlign w:val="center"/>
                </w:tcPr>
                <w:p>
                  <w:pPr>
                    <w:pStyle w:val="30"/>
                    <w:adjustRightInd w:val="0"/>
                    <w:snapToGrid w:val="0"/>
                    <w:ind w:firstLine="0" w:firstLineChars="0"/>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噪声</w:t>
                  </w:r>
                </w:p>
              </w:tc>
              <w:tc>
                <w:tcPr>
                  <w:tcW w:w="839" w:type="pct"/>
                  <w:vAlign w:val="center"/>
                </w:tcPr>
                <w:p>
                  <w:pPr>
                    <w:pStyle w:val="30"/>
                    <w:adjustRightInd w:val="0"/>
                    <w:snapToGrid w:val="0"/>
                    <w:ind w:firstLine="0" w:firstLineChars="0"/>
                    <w:jc w:val="center"/>
                    <w:rPr>
                      <w:rFonts w:hint="default" w:ascii="Times New Roman" w:hAnsi="Times New Roman" w:eastAsia="宋体" w:cs="Times New Roman"/>
                      <w:snapToGrid w:val="0"/>
                      <w:kern w:val="0"/>
                      <w:sz w:val="21"/>
                      <w:szCs w:val="21"/>
                      <w:lang w:eastAsia="zh-CN"/>
                    </w:rPr>
                  </w:pPr>
                  <w:r>
                    <w:rPr>
                      <w:rFonts w:hint="default" w:ascii="Times New Roman" w:hAnsi="Times New Roman" w:eastAsia="宋体" w:cs="Times New Roman"/>
                      <w:snapToGrid w:val="0"/>
                      <w:kern w:val="0"/>
                      <w:sz w:val="21"/>
                      <w:szCs w:val="21"/>
                    </w:rPr>
                    <w:t>厂界外</w:t>
                  </w:r>
                  <w:r>
                    <w:rPr>
                      <w:rFonts w:hint="default" w:ascii="Times New Roman" w:hAnsi="Times New Roman" w:eastAsia="宋体" w:cs="Times New Roman"/>
                      <w:snapToGrid w:val="0"/>
                      <w:kern w:val="0"/>
                      <w:sz w:val="21"/>
                      <w:szCs w:val="21"/>
                      <w:lang w:val="en-US" w:eastAsia="zh-CN"/>
                    </w:rPr>
                    <w:t>四周</w:t>
                  </w:r>
                </w:p>
              </w:tc>
              <w:tc>
                <w:tcPr>
                  <w:tcW w:w="940" w:type="pct"/>
                  <w:vAlign w:val="center"/>
                </w:tcPr>
                <w:p>
                  <w:pPr>
                    <w:pStyle w:val="31"/>
                    <w:adjustRightInd w:val="0"/>
                    <w:snapToGrid w:val="0"/>
                    <w:spacing w:after="0"/>
                    <w:ind w:left="0" w:leftChars="0" w:firstLine="0" w:firstLineChars="0"/>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连续等效A声级</w:t>
                  </w:r>
                </w:p>
              </w:tc>
              <w:tc>
                <w:tcPr>
                  <w:tcW w:w="737" w:type="pct"/>
                  <w:vAlign w:val="center"/>
                </w:tcPr>
                <w:p>
                  <w:pPr>
                    <w:pStyle w:val="30"/>
                    <w:adjustRightInd w:val="0"/>
                    <w:snapToGrid w:val="0"/>
                    <w:ind w:firstLine="0" w:firstLineChars="0"/>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一季一次</w:t>
                  </w:r>
                </w:p>
              </w:tc>
              <w:tc>
                <w:tcPr>
                  <w:tcW w:w="2064" w:type="pct"/>
                  <w:vAlign w:val="center"/>
                </w:tcPr>
                <w:p>
                  <w:pPr>
                    <w:pStyle w:val="30"/>
                    <w:adjustRightInd w:val="0"/>
                    <w:snapToGrid w:val="0"/>
                    <w:ind w:firstLine="0" w:firstLineChars="0"/>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《工业企业厂界环境噪声排放标准》</w:t>
                  </w:r>
                </w:p>
                <w:p>
                  <w:pPr>
                    <w:pStyle w:val="30"/>
                    <w:adjustRightInd w:val="0"/>
                    <w:snapToGrid w:val="0"/>
                    <w:ind w:firstLine="0" w:firstLineChars="0"/>
                    <w:jc w:val="center"/>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（GB12348-2008）2类标准</w:t>
                  </w:r>
                </w:p>
              </w:tc>
            </w:tr>
          </w:tbl>
          <w:p>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lang w:val="en-US" w:eastAsia="zh-CN"/>
              </w:rPr>
              <w:t>2、监测仪器</w:t>
            </w:r>
          </w:p>
          <w:p>
            <w:pPr>
              <w:spacing w:line="240" w:lineRule="auto"/>
              <w:jc w:val="center"/>
              <w:rPr>
                <w:rFonts w:hint="default" w:ascii="Times New Roman" w:hAnsi="Times New Roman" w:eastAsia="宋体" w:cs="Times New Roman"/>
                <w:b/>
                <w:color w:val="0D0D0D"/>
                <w:szCs w:val="21"/>
                <w:lang w:val="en-US" w:eastAsia="zh-CN"/>
              </w:rPr>
            </w:pPr>
            <w:r>
              <w:rPr>
                <w:rFonts w:hint="default" w:ascii="Times New Roman" w:hAnsi="Times New Roman" w:eastAsia="宋体" w:cs="Times New Roman"/>
                <w:b/>
                <w:color w:val="0D0D0D"/>
                <w:szCs w:val="21"/>
                <w:lang w:val="en-US" w:eastAsia="zh-CN"/>
              </w:rPr>
              <w:t>表5-4  监测使用仪器</w:t>
            </w:r>
          </w:p>
          <w:tbl>
            <w:tblPr>
              <w:tblStyle w:val="21"/>
              <w:tblW w:w="8306" w:type="dxa"/>
              <w:tblInd w:w="5"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68"/>
              <w:gridCol w:w="2769"/>
              <w:gridCol w:w="276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jc w:val="center"/>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仪器名称</w:t>
                  </w:r>
                </w:p>
              </w:tc>
              <w:tc>
                <w:tcPr>
                  <w:tcW w:w="2769" w:type="dxa"/>
                  <w:tcBorders>
                    <w:tl2br w:val="nil"/>
                    <w:tr2bl w:val="nil"/>
                  </w:tcBorders>
                  <w:vAlign w:val="center"/>
                </w:tcPr>
                <w:p>
                  <w:pPr>
                    <w:jc w:val="center"/>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型号</w:t>
                  </w:r>
                </w:p>
              </w:tc>
              <w:tc>
                <w:tcPr>
                  <w:tcW w:w="2769" w:type="dxa"/>
                  <w:tcBorders>
                    <w:tl2br w:val="nil"/>
                    <w:tr2bl w:val="nil"/>
                  </w:tcBorders>
                  <w:vAlign w:val="center"/>
                </w:tcPr>
                <w:p>
                  <w:pPr>
                    <w:jc w:val="center"/>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编号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spacing w:val="-5"/>
                      <w:sz w:val="21"/>
                      <w:szCs w:val="21"/>
                      <w:lang w:val="en-US" w:eastAsia="zh-CN" w:bidi="he-IL"/>
                    </w:rPr>
                    <w:t>非甲烷总烃气相色谱仪</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sz w:val="21"/>
                      <w:szCs w:val="21"/>
                      <w:lang w:val="en-US" w:eastAsia="zh-CN"/>
                    </w:rPr>
                    <w:t>GC9790Ⅱ</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spacing w:val="-5"/>
                      <w:sz w:val="21"/>
                      <w:szCs w:val="21"/>
                      <w:lang w:val="en-US" w:eastAsia="zh-CN" w:bidi="he-IL"/>
                    </w:rPr>
                    <w:t>BPT-04-GD-0026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自动烟尘</w:t>
                  </w:r>
                  <w:r>
                    <w:rPr>
                      <w:rFonts w:hint="default" w:ascii="Times New Roman" w:hAnsi="Times New Roman" w:eastAsia="宋体" w:cs="Times New Roman"/>
                      <w:color w:val="auto"/>
                      <w:sz w:val="21"/>
                      <w:szCs w:val="21"/>
                      <w:lang w:val="en-US" w:eastAsia="zh-CN"/>
                    </w:rPr>
                    <w:t>/</w:t>
                  </w:r>
                  <w:r>
                    <w:rPr>
                      <w:rFonts w:hint="eastAsia" w:ascii="Times New Roman" w:hAnsi="Times New Roman" w:eastAsia="宋体" w:cs="Times New Roman"/>
                      <w:color w:val="auto"/>
                      <w:sz w:val="21"/>
                      <w:szCs w:val="21"/>
                      <w:lang w:val="en-US" w:eastAsia="zh-CN"/>
                    </w:rPr>
                    <w:t>气测试仪</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崂应</w:t>
                  </w:r>
                  <w:r>
                    <w:rPr>
                      <w:rFonts w:hint="default" w:ascii="Times New Roman" w:hAnsi="Times New Roman" w:eastAsia="宋体" w:cs="Times New Roman"/>
                      <w:color w:val="auto"/>
                      <w:sz w:val="21"/>
                      <w:szCs w:val="21"/>
                      <w:lang w:val="en-US" w:eastAsia="zh-CN"/>
                    </w:rPr>
                    <w:t>3012H</w:t>
                  </w:r>
                  <w:r>
                    <w:rPr>
                      <w:rFonts w:hint="eastAsia" w:ascii="Times New Roman" w:hAnsi="Times New Roman" w:eastAsia="宋体" w:cs="Times New Roman"/>
                      <w:color w:val="auto"/>
                      <w:sz w:val="21"/>
                      <w:szCs w:val="21"/>
                      <w:lang w:val="en-US" w:eastAsia="zh-CN"/>
                    </w:rPr>
                    <w:t>型</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BPT-04-GD-0155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离子色谱仪</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IC-16</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BPT-04-GD-0031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电子天平</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GL224-1SCN</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BPT-04-GD-00</w:t>
                  </w:r>
                  <w:r>
                    <w:rPr>
                      <w:rFonts w:hint="eastAsia" w:ascii="Times New Roman" w:hAnsi="Times New Roman" w:eastAsia="宋体" w:cs="Times New Roman"/>
                      <w:color w:val="auto"/>
                      <w:sz w:val="21"/>
                      <w:szCs w:val="21"/>
                      <w:lang w:val="en-US" w:eastAsia="zh-CN"/>
                    </w:rPr>
                    <w:t>09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红外测油仪</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MAI-50G</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BPT-04-GD-0005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可见分光光度计</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T6</w:t>
                  </w:r>
                  <w:r>
                    <w:rPr>
                      <w:rFonts w:hint="eastAsia" w:ascii="Times New Roman" w:hAnsi="Times New Roman" w:eastAsia="宋体" w:cs="Times New Roman"/>
                      <w:color w:val="auto"/>
                      <w:sz w:val="21"/>
                      <w:szCs w:val="21"/>
                      <w:lang w:val="en-US" w:eastAsia="zh-CN"/>
                    </w:rPr>
                    <w:t>新悦</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BPT-04-GD-0161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sz w:val="21"/>
                      <w:szCs w:val="21"/>
                      <w:lang w:val="en-US" w:eastAsia="zh-CN"/>
                    </w:rPr>
                    <w:t>紫外分光光度计</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sz w:val="21"/>
                      <w:szCs w:val="21"/>
                      <w:lang w:val="en-US" w:eastAsia="zh-CN"/>
                    </w:rPr>
                    <w:t>UV-1900i</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sz w:val="21"/>
                      <w:szCs w:val="21"/>
                      <w:lang w:val="en-US" w:eastAsia="zh-CN"/>
                    </w:rPr>
                    <w:t>BPT-04-GD-0011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多功能声级计</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AWA6228+</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eastAsia="宋体" w:cs="Times New Roman"/>
                      <w:color w:val="auto"/>
                      <w:sz w:val="21"/>
                      <w:szCs w:val="21"/>
                      <w:lang w:val="en-US" w:eastAsia="zh-CN"/>
                    </w:rPr>
                    <w:t>BPT-04-GD-0</w:t>
                  </w:r>
                  <w:r>
                    <w:rPr>
                      <w:rFonts w:hint="eastAsia" w:ascii="Times New Roman" w:hAnsi="Times New Roman" w:eastAsia="宋体" w:cs="Times New Roman"/>
                      <w:color w:val="auto"/>
                      <w:sz w:val="21"/>
                      <w:szCs w:val="21"/>
                      <w:lang w:val="en-US" w:eastAsia="zh-CN"/>
                    </w:rPr>
                    <w:t>149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多参数水质测量仪</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SX751</w:t>
                  </w:r>
                  <w:r>
                    <w:rPr>
                      <w:rFonts w:hint="eastAsia" w:ascii="Times New Roman" w:hAnsi="Times New Roman" w:eastAsia="宋体" w:cs="Times New Roman"/>
                      <w:color w:val="auto"/>
                      <w:sz w:val="21"/>
                      <w:szCs w:val="21"/>
                      <w:lang w:val="en-US" w:eastAsia="zh-CN"/>
                    </w:rPr>
                    <w:t>型</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BPT-04-GD-0</w:t>
                  </w:r>
                  <w:r>
                    <w:rPr>
                      <w:rFonts w:hint="eastAsia" w:ascii="Times New Roman" w:hAnsi="Times New Roman" w:eastAsia="宋体" w:cs="Times New Roman"/>
                      <w:color w:val="auto"/>
                      <w:sz w:val="21"/>
                      <w:szCs w:val="21"/>
                      <w:lang w:val="en-US" w:eastAsia="zh-CN"/>
                    </w:rPr>
                    <w:t>210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768" w:type="dxa"/>
                  <w:tcBorders>
                    <w:tl2br w:val="nil"/>
                    <w:tr2bl w:val="nil"/>
                  </w:tcBorders>
                  <w:vAlign w:val="center"/>
                </w:tcPr>
                <w:p>
                  <w:pPr>
                    <w:ind w:left="0" w:leftChars="0"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智能</w:t>
                  </w:r>
                  <w:r>
                    <w:rPr>
                      <w:rFonts w:hint="default" w:ascii="Times New Roman" w:hAnsi="Times New Roman" w:eastAsia="宋体" w:cs="Times New Roman"/>
                      <w:color w:val="auto"/>
                      <w:sz w:val="21"/>
                      <w:szCs w:val="21"/>
                      <w:lang w:val="en-US" w:eastAsia="zh-CN"/>
                    </w:rPr>
                    <w:t>COD</w:t>
                  </w:r>
                  <w:r>
                    <w:rPr>
                      <w:rFonts w:hint="eastAsia" w:ascii="Times New Roman" w:hAnsi="Times New Roman" w:eastAsia="宋体" w:cs="Times New Roman"/>
                      <w:color w:val="auto"/>
                      <w:sz w:val="21"/>
                      <w:szCs w:val="21"/>
                      <w:lang w:val="en-US" w:eastAsia="zh-CN"/>
                    </w:rPr>
                    <w:t>回流消解仪</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H3002</w:t>
                  </w:r>
                </w:p>
              </w:tc>
              <w:tc>
                <w:tcPr>
                  <w:tcW w:w="2769" w:type="dxa"/>
                  <w:tcBorders>
                    <w:tl2br w:val="nil"/>
                    <w:tr2bl w:val="nil"/>
                  </w:tcBorders>
                  <w:vAlign w:val="center"/>
                </w:tcPr>
                <w:p>
                  <w:pPr>
                    <w:ind w:left="0" w:leftChars="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BPT-04-GD-0145</w:t>
                  </w:r>
                </w:p>
              </w:tc>
            </w:tr>
          </w:tbl>
          <w:p>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lang w:val="en-US" w:eastAsia="zh-CN"/>
              </w:rPr>
              <w:t>3、人员资质</w:t>
            </w:r>
          </w:p>
          <w:p>
            <w:pPr>
              <w:pStyle w:val="2"/>
              <w:spacing w:line="360" w:lineRule="auto"/>
              <w:ind w:firstLine="480" w:firstLineChars="200"/>
              <w:jc w:val="both"/>
              <w:rPr>
                <w:rFonts w:hint="default" w:ascii="Times New Roman" w:hAnsi="Times New Roman" w:eastAsia="宋体" w:cs="Times New Roman"/>
                <w:b w:val="0"/>
                <w:bCs/>
                <w:sz w:val="24"/>
                <w:lang w:val="en-US" w:eastAsia="zh-CN"/>
              </w:rPr>
            </w:pPr>
            <w:r>
              <w:rPr>
                <w:rFonts w:hint="default" w:ascii="Times New Roman" w:hAnsi="Times New Roman" w:eastAsia="宋体" w:cs="Times New Roman"/>
                <w:b w:val="0"/>
                <w:bCs/>
                <w:sz w:val="24"/>
              </w:rPr>
              <w:t>参加本次验收监测人员均经过采样规范、样品分析和报告编制培训，并考核合格；项目负责人取得建设项目竣工环境保护验收监测培训考核合格证。</w:t>
            </w:r>
          </w:p>
          <w:p>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lang w:val="en-US" w:eastAsia="zh-CN"/>
              </w:rPr>
              <w:t>4、水质监测分析过程中的质量保证与</w:t>
            </w:r>
            <w:r>
              <w:rPr>
                <w:rFonts w:hint="default" w:ascii="Times New Roman" w:hAnsi="Times New Roman" w:eastAsia="宋体" w:cs="Times New Roman"/>
                <w:b/>
                <w:sz w:val="24"/>
                <w:highlight w:val="none"/>
                <w:lang w:val="en-US" w:eastAsia="zh-CN"/>
              </w:rPr>
              <w:t>质量控制</w:t>
            </w:r>
          </w:p>
          <w:p>
            <w:pPr>
              <w:spacing w:line="360" w:lineRule="auto"/>
              <w:ind w:firstLine="480" w:firstLineChars="200"/>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水样的采集、运输、保存、实验室分析和数据计算的全过程均按《环境水质监测质量保证手册》（第四版）的要求进行。</w:t>
            </w:r>
          </w:p>
          <w:p>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lang w:val="en-US" w:eastAsia="zh-CN"/>
              </w:rPr>
              <w:t>5、气体监测分析过程中的质量保证和质量控制</w:t>
            </w:r>
          </w:p>
          <w:p>
            <w:pPr>
              <w:pStyle w:val="2"/>
              <w:spacing w:line="360" w:lineRule="auto"/>
              <w:ind w:firstLine="480" w:firstLineChars="200"/>
              <w:jc w:val="both"/>
              <w:rPr>
                <w:rFonts w:hint="default" w:ascii="Times New Roman" w:hAnsi="Times New Roman" w:cs="Times New Roman"/>
                <w:b w:val="0"/>
                <w:bCs/>
                <w:lang w:val="en-US" w:eastAsia="zh-CN"/>
              </w:rPr>
            </w:pPr>
            <w:r>
              <w:rPr>
                <w:rFonts w:hint="default" w:ascii="Times New Roman" w:hAnsi="Times New Roman" w:eastAsia="宋体" w:cs="Times New Roman"/>
                <w:b w:val="0"/>
                <w:bCs/>
                <w:sz w:val="24"/>
                <w:lang w:val="en-US" w:eastAsia="zh-CN"/>
              </w:rPr>
              <w:t>无组织</w:t>
            </w:r>
            <w:r>
              <w:rPr>
                <w:rFonts w:hint="default" w:ascii="Times New Roman" w:hAnsi="Times New Roman" w:eastAsia="宋体" w:cs="Times New Roman"/>
                <w:b w:val="0"/>
                <w:bCs/>
                <w:sz w:val="24"/>
              </w:rPr>
              <w:t>废气的监测布点、监测频次和监测要求均按照《大气污染物无组织排放监测技术导则》（HJ/T55-2000）</w:t>
            </w:r>
            <w:r>
              <w:rPr>
                <w:rFonts w:hint="default" w:ascii="Times New Roman" w:hAnsi="Times New Roman" w:eastAsia="宋体" w:cs="Times New Roman"/>
                <w:b w:val="0"/>
                <w:bCs/>
                <w:sz w:val="24"/>
                <w:lang w:val="en-US" w:eastAsia="zh-CN"/>
              </w:rPr>
              <w:t>执行，有组织废气采样布点、监测频次、监测要求按照《固定源废气监测技术规范》（HJ/T397-2007）执行，实验室气体分析要求分别按照上述有组织无组织废气技术导则执行及</w:t>
            </w:r>
            <w:r>
              <w:rPr>
                <w:rFonts w:hint="default" w:ascii="Times New Roman" w:hAnsi="Times New Roman" w:eastAsia="宋体" w:cs="Times New Roman"/>
                <w:b w:val="0"/>
                <w:bCs/>
                <w:sz w:val="24"/>
              </w:rPr>
              <w:t>国家、省有关技术规范和本公司《质量手册》的要求执行，按质控要求同步完成空白实验。所有监测仪器设备经过计量部门检定并在有效期内，现场监测仪器使用前经过校准或标定，监测数据实行三级审核。</w:t>
            </w:r>
          </w:p>
          <w:p>
            <w:pPr>
              <w:pStyle w:val="2"/>
              <w:jc w:val="both"/>
              <w:rPr>
                <w:rFonts w:hint="default" w:ascii="Times New Roman" w:hAnsi="Times New Roman" w:eastAsia="宋体" w:cs="Times New Roman"/>
                <w:lang w:val="en-US" w:eastAsia="zh-CN"/>
              </w:rPr>
            </w:pPr>
            <w:r>
              <w:rPr>
                <w:rFonts w:hint="default" w:ascii="Times New Roman" w:hAnsi="Times New Roman" w:eastAsia="宋体" w:cs="Times New Roman"/>
                <w:b/>
                <w:bCs/>
                <w:lang w:val="en-US" w:eastAsia="zh-CN"/>
              </w:rPr>
              <w:t>6、</w:t>
            </w:r>
            <w:r>
              <w:rPr>
                <w:rFonts w:hint="default" w:ascii="Times New Roman" w:hAnsi="Times New Roman" w:eastAsia="宋体" w:cs="Times New Roman"/>
                <w:b/>
                <w:bCs/>
                <w:sz w:val="24"/>
              </w:rPr>
              <w:t>噪声监测分析过程中的质量保证和质量控制</w:t>
            </w:r>
          </w:p>
          <w:p>
            <w:pPr>
              <w:pStyle w:val="2"/>
              <w:spacing w:line="360" w:lineRule="auto"/>
              <w:ind w:firstLine="480" w:firstLineChars="200"/>
              <w:jc w:val="both"/>
              <w:rPr>
                <w:rFonts w:hint="default" w:ascii="Times New Roman" w:hAnsi="Times New Roman" w:cs="Times New Roman"/>
                <w:lang w:val="en-US" w:eastAsia="zh-CN"/>
              </w:rPr>
            </w:pPr>
            <w:r>
              <w:rPr>
                <w:rFonts w:hint="default" w:ascii="Times New Roman" w:hAnsi="Times New Roman" w:eastAsia="宋体" w:cs="Times New Roman"/>
                <w:b w:val="0"/>
                <w:bCs/>
                <w:sz w:val="24"/>
              </w:rPr>
              <w:t>噪声监测布点、测量方法和频次按照相关标准执行，测量仪器和校准仪器定期检验合格，并在有效期内使用，声级计在测试前后用标准发生源进行校准，测量前后仪器的灵敏度相差小于0.5dB（A）。</w:t>
            </w:r>
          </w:p>
        </w:tc>
      </w:tr>
    </w:tbl>
    <w:p>
      <w:pPr>
        <w:rPr>
          <w:rFonts w:hint="eastAsia"/>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jc w:val="center"/>
        <w:rPr>
          <w:rFonts w:hint="default"/>
          <w:lang w:val="en-US" w:eastAsia="zh-CN"/>
        </w:rPr>
      </w:pPr>
      <w:r>
        <w:rPr>
          <w:rFonts w:hint="eastAsia"/>
          <w:lang w:val="en-US" w:eastAsia="zh-CN"/>
        </w:rPr>
        <w:t>质量控制统计表</w:t>
      </w:r>
    </w:p>
    <w:tbl>
      <w:tblPr>
        <w:tblStyle w:val="20"/>
        <w:tblW w:w="5047"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47"/>
        <w:gridCol w:w="1247"/>
        <w:gridCol w:w="1753"/>
        <w:gridCol w:w="877"/>
        <w:gridCol w:w="551"/>
        <w:gridCol w:w="561"/>
        <w:gridCol w:w="652"/>
        <w:gridCol w:w="547"/>
        <w:gridCol w:w="567"/>
        <w:gridCol w:w="649"/>
        <w:gridCol w:w="522"/>
        <w:gridCol w:w="584"/>
        <w:gridCol w:w="640"/>
        <w:gridCol w:w="522"/>
        <w:gridCol w:w="584"/>
        <w:gridCol w:w="640"/>
        <w:gridCol w:w="536"/>
        <w:gridCol w:w="584"/>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trPr>
        <w:tc>
          <w:tcPr>
            <w:tcW w:w="575" w:type="pct"/>
            <w:vMerge w:val="restar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任务单号</w:t>
            </w:r>
          </w:p>
        </w:tc>
        <w:tc>
          <w:tcPr>
            <w:tcW w:w="435" w:type="pct"/>
            <w:vMerge w:val="restar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样品类型</w:t>
            </w:r>
          </w:p>
        </w:tc>
        <w:tc>
          <w:tcPr>
            <w:tcW w:w="612" w:type="pct"/>
            <w:vMerge w:val="restar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分析项目</w:t>
            </w:r>
          </w:p>
        </w:tc>
        <w:tc>
          <w:tcPr>
            <w:tcW w:w="306" w:type="pct"/>
            <w:vMerge w:val="restar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样品数</w:t>
            </w:r>
          </w:p>
        </w:tc>
        <w:tc>
          <w:tcPr>
            <w:tcW w:w="616" w:type="pct"/>
            <w:gridSpan w:val="3"/>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全程序/运输空白</w:t>
            </w:r>
          </w:p>
        </w:tc>
        <w:tc>
          <w:tcPr>
            <w:tcW w:w="616" w:type="pct"/>
            <w:gridSpan w:val="3"/>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现场平行样</w:t>
            </w:r>
          </w:p>
        </w:tc>
        <w:tc>
          <w:tcPr>
            <w:tcW w:w="610" w:type="pct"/>
            <w:gridSpan w:val="3"/>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实验室平行样</w:t>
            </w:r>
          </w:p>
        </w:tc>
        <w:tc>
          <w:tcPr>
            <w:tcW w:w="610" w:type="pct"/>
            <w:gridSpan w:val="3"/>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质控样</w:t>
            </w:r>
          </w:p>
        </w:tc>
        <w:tc>
          <w:tcPr>
            <w:tcW w:w="617" w:type="pct"/>
            <w:gridSpan w:val="3"/>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加标回收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306"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个数</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合格数</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合格率%</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个数</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合格数</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合格率%</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个数</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合格数</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合格率%</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个数</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合格数</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合格率%</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个数</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合格数</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合格率%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restart"/>
            <w:shd w:val="clear" w:color="auto" w:fill="auto"/>
            <w:noWrap/>
            <w:vAlign w:val="center"/>
          </w:tcPr>
          <w:p>
            <w:pPr>
              <w:keepNext w:val="0"/>
              <w:keepLines w:val="0"/>
              <w:widowControl/>
              <w:suppressLineNumbers w:val="0"/>
              <w:jc w:val="center"/>
              <w:textAlignment w:val="center"/>
              <w:rPr>
                <w:rFonts w:hint="default" w:cs="Times New Roman"/>
                <w:i w:val="0"/>
                <w:iCs w:val="0"/>
                <w:color w:val="000000"/>
                <w:sz w:val="18"/>
                <w:szCs w:val="18"/>
                <w:u w:val="none"/>
                <w:lang w:val="en-US" w:eastAsia="zh-CN"/>
              </w:rPr>
            </w:pPr>
            <w:r>
              <w:rPr>
                <w:rFonts w:hint="eastAsia" w:ascii="Times New Roman" w:hAnsi="Times New Roman"/>
                <w:b w:val="0"/>
                <w:bCs/>
                <w:sz w:val="21"/>
                <w:szCs w:val="21"/>
                <w:lang w:val="en-US" w:eastAsia="zh-CN"/>
              </w:rPr>
              <w:t>BPT2023</w:t>
            </w:r>
            <w:r>
              <w:rPr>
                <w:rFonts w:hint="eastAsia"/>
                <w:b w:val="0"/>
                <w:bCs/>
                <w:sz w:val="21"/>
                <w:szCs w:val="21"/>
                <w:lang w:val="en-US" w:eastAsia="zh-CN"/>
              </w:rPr>
              <w:t>819</w:t>
            </w:r>
            <w:r>
              <w:rPr>
                <w:rFonts w:hint="eastAsia" w:ascii="Times New Roman" w:hAnsi="Times New Roman"/>
                <w:b w:val="0"/>
                <w:bCs/>
                <w:sz w:val="21"/>
                <w:szCs w:val="21"/>
                <w:lang w:val="en-US" w:eastAsia="zh-CN"/>
              </w:rPr>
              <w:t>（HJCY）</w:t>
            </w:r>
          </w:p>
        </w:tc>
        <w:tc>
          <w:tcPr>
            <w:tcW w:w="435" w:type="pct"/>
            <w:vMerge w:val="restar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有组织废气</w:t>
            </w: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非甲烷总烃</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24</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4</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4</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4</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4</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18"/>
                <w:szCs w:val="18"/>
                <w:highlight w:val="none"/>
                <w:lang w:val="en-US" w:eastAsia="zh-CN" w:bidi="ar-SA"/>
              </w:rPr>
            </w:pPr>
            <w:r>
              <w:rPr>
                <w:rFonts w:hint="eastAsia" w:cs="Times New Roman"/>
                <w:kern w:val="2"/>
                <w:sz w:val="18"/>
                <w:szCs w:val="18"/>
                <w:highlight w:val="none"/>
                <w:lang w:val="en-US" w:eastAsia="zh-CN" w:bidi="ar-SA"/>
              </w:rPr>
              <w:t>氯化氢</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6</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4</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4</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硫酸雾</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6</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cs="Times New Roman"/>
                <w:kern w:val="2"/>
                <w:sz w:val="18"/>
                <w:szCs w:val="18"/>
                <w:lang w:val="en-US" w:eastAsia="zh-CN" w:bidi="ar-SA"/>
              </w:rPr>
            </w:pPr>
            <w:r>
              <w:rPr>
                <w:rFonts w:hint="eastAsia" w:cs="Times New Roman"/>
                <w:kern w:val="2"/>
                <w:sz w:val="18"/>
                <w:szCs w:val="18"/>
                <w:lang w:val="en-US" w:eastAsia="zh-CN" w:bidi="ar-SA"/>
              </w:rPr>
              <w:t>氮氧化物</w:t>
            </w:r>
          </w:p>
        </w:tc>
        <w:tc>
          <w:tcPr>
            <w:tcW w:w="306" w:type="pct"/>
            <w:shd w:val="clear" w:color="auto" w:fill="auto"/>
            <w:noWrap/>
            <w:vAlign w:val="center"/>
          </w:tcPr>
          <w:p>
            <w:pPr>
              <w:keepNext w:val="0"/>
              <w:keepLines w:val="0"/>
              <w:widowControl/>
              <w:suppressLineNumbers w:val="0"/>
              <w:jc w:val="center"/>
              <w:textAlignment w:val="center"/>
              <w:rPr>
                <w:rFonts w:hint="default"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6</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91"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default" w:cs="Times New Roman"/>
                <w:i w:val="0"/>
                <w:iCs w:val="0"/>
                <w:color w:val="000000"/>
                <w:sz w:val="18"/>
                <w:szCs w:val="18"/>
                <w:u w:val="none"/>
                <w:lang w:val="en-US"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cs="Times New Roman"/>
                <w:kern w:val="2"/>
                <w:sz w:val="18"/>
                <w:szCs w:val="18"/>
                <w:lang w:val="en-US" w:eastAsia="zh-CN" w:bidi="ar-SA"/>
              </w:rPr>
            </w:pPr>
            <w:r>
              <w:rPr>
                <w:rFonts w:hint="eastAsia" w:cs="Times New Roman"/>
                <w:kern w:val="2"/>
                <w:sz w:val="18"/>
                <w:szCs w:val="18"/>
                <w:lang w:val="en-US" w:eastAsia="zh-CN" w:bidi="ar-SA"/>
              </w:rPr>
              <w:t>氯气</w:t>
            </w:r>
          </w:p>
        </w:tc>
        <w:tc>
          <w:tcPr>
            <w:tcW w:w="306" w:type="pct"/>
            <w:shd w:val="clear" w:color="auto" w:fill="auto"/>
            <w:noWrap/>
            <w:vAlign w:val="center"/>
          </w:tcPr>
          <w:p>
            <w:pPr>
              <w:keepNext w:val="0"/>
              <w:keepLines w:val="0"/>
              <w:widowControl/>
              <w:suppressLineNumbers w:val="0"/>
              <w:jc w:val="center"/>
              <w:textAlignment w:val="center"/>
              <w:rPr>
                <w:rFonts w:hint="default"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6</w:t>
            </w:r>
          </w:p>
        </w:tc>
        <w:tc>
          <w:tcPr>
            <w:tcW w:w="192"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196"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227"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87"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val="en-US"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default" w:cs="Times New Roman"/>
                <w:i w:val="0"/>
                <w:iCs w:val="0"/>
                <w:color w:val="000000"/>
                <w:sz w:val="18"/>
                <w:szCs w:val="18"/>
                <w:u w:val="none"/>
                <w:lang w:val="en-US"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甲醛</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6</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二硫化碳</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6</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keepNext w:val="0"/>
              <w:keepLines w:val="0"/>
              <w:pageBreakBefore w:val="0"/>
              <w:widowControl/>
              <w:suppressLineNumbers w:val="0"/>
              <w:wordWrap/>
              <w:topLinePunct w:val="0"/>
              <w:autoSpaceDE/>
              <w:autoSpaceDN/>
              <w:bidi w:val="0"/>
              <w:adjustRightInd/>
              <w:snapToGrid/>
              <w:spacing w:line="0" w:lineRule="atLeast"/>
              <w:jc w:val="center"/>
              <w:textAlignment w:val="center"/>
              <w:rPr>
                <w:rFonts w:hint="default" w:ascii="Times New Roman" w:hAnsi="Times New Roman" w:eastAsia="宋体" w:cs="Times New Roman"/>
                <w:kern w:val="2"/>
                <w:sz w:val="18"/>
                <w:szCs w:val="18"/>
                <w:highlight w:val="none"/>
                <w:lang w:val="en-US" w:eastAsia="zh-CN" w:bidi="ar-SA"/>
              </w:rPr>
            </w:pPr>
            <w:r>
              <w:rPr>
                <w:rFonts w:hint="eastAsia" w:cs="Times New Roman"/>
                <w:kern w:val="2"/>
                <w:sz w:val="18"/>
                <w:szCs w:val="18"/>
                <w:highlight w:val="none"/>
                <w:lang w:val="en-US" w:eastAsia="zh-CN" w:bidi="ar-SA"/>
              </w:rPr>
              <w:t>氨</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6</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val="en-US" w:eastAsia="zh-CN"/>
              </w:rPr>
            </w:pPr>
          </w:p>
        </w:tc>
        <w:tc>
          <w:tcPr>
            <w:tcW w:w="435" w:type="pct"/>
            <w:vMerge w:val="restart"/>
            <w:shd w:val="clear" w:color="auto" w:fill="auto"/>
            <w:noWrap/>
            <w:vAlign w:val="center"/>
          </w:tcPr>
          <w:p>
            <w:pPr>
              <w:keepNext w:val="0"/>
              <w:keepLines w:val="0"/>
              <w:widowControl/>
              <w:suppressLineNumbers w:val="0"/>
              <w:jc w:val="center"/>
              <w:textAlignment w:val="center"/>
              <w:rPr>
                <w:rFonts w:hint="default"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无组织废气</w:t>
            </w: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18"/>
                <w:szCs w:val="18"/>
                <w:highlight w:val="none"/>
                <w:lang w:val="en-US" w:eastAsia="zh-CN" w:bidi="ar-SA"/>
              </w:rPr>
            </w:pPr>
            <w:r>
              <w:rPr>
                <w:rFonts w:hint="eastAsia" w:cs="Times New Roman"/>
                <w:kern w:val="2"/>
                <w:sz w:val="18"/>
                <w:szCs w:val="18"/>
                <w:highlight w:val="none"/>
                <w:lang w:val="en-US" w:eastAsia="zh-CN" w:bidi="ar-SA"/>
              </w:rPr>
              <w:t>氯化氢</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24</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4</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4</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硫酸雾</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24</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4</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4</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氮氧化物</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24</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jc w:val="center"/>
              <w:rPr>
                <w:rFonts w:hint="default" w:ascii="Times New Roman" w:hAnsi="Times New Roman" w:eastAsia="宋体" w:cs="Times New Roman"/>
                <w:kern w:val="2"/>
                <w:sz w:val="18"/>
                <w:szCs w:val="18"/>
                <w:highlight w:val="none"/>
                <w:lang w:val="en-US" w:eastAsia="zh-CN" w:bidi="ar-SA"/>
              </w:rPr>
            </w:pPr>
            <w:r>
              <w:rPr>
                <w:rFonts w:hint="eastAsia" w:cs="Times New Roman"/>
                <w:kern w:val="2"/>
                <w:sz w:val="18"/>
                <w:szCs w:val="18"/>
                <w:highlight w:val="none"/>
                <w:lang w:val="en-US" w:eastAsia="zh-CN" w:bidi="ar-SA"/>
              </w:rPr>
              <w:t>三氯甲烷</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24</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jc w:val="center"/>
              <w:rPr>
                <w:rFonts w:hint="default" w:ascii="Times New Roman" w:hAnsi="Times New Roman" w:eastAsia="宋体" w:cs="Times New Roman"/>
                <w:kern w:val="2"/>
                <w:sz w:val="18"/>
                <w:szCs w:val="18"/>
                <w:highlight w:val="none"/>
                <w:lang w:val="en-US" w:eastAsia="zh-CN" w:bidi="ar-SA"/>
              </w:rPr>
            </w:pPr>
            <w:r>
              <w:rPr>
                <w:rFonts w:hint="eastAsia" w:cs="Times New Roman"/>
                <w:kern w:val="2"/>
                <w:sz w:val="18"/>
                <w:szCs w:val="18"/>
                <w:highlight w:val="none"/>
                <w:lang w:val="en-US" w:eastAsia="zh-CN" w:bidi="ar-SA"/>
              </w:rPr>
              <w:t>四氯乙烯</w:t>
            </w:r>
          </w:p>
        </w:tc>
        <w:tc>
          <w:tcPr>
            <w:tcW w:w="30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24</w:t>
            </w:r>
          </w:p>
        </w:tc>
        <w:tc>
          <w:tcPr>
            <w:tcW w:w="19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w:t>
            </w:r>
          </w:p>
        </w:tc>
        <w:tc>
          <w:tcPr>
            <w:tcW w:w="19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w:t>
            </w:r>
          </w:p>
        </w:tc>
        <w:tc>
          <w:tcPr>
            <w:tcW w:w="22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91"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7"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435" w:type="pct"/>
            <w:vMerge w:val="continue"/>
            <w:shd w:val="clear" w:color="auto" w:fill="auto"/>
            <w:noWrap/>
            <w:vAlign w:val="center"/>
          </w:tcPr>
          <w:p>
            <w:pPr>
              <w:keepNext w:val="0"/>
              <w:keepLines w:val="0"/>
              <w:widowControl/>
              <w:suppressLineNumbers w:val="0"/>
              <w:jc w:val="center"/>
              <w:textAlignment w:val="center"/>
              <w:rPr>
                <w:rFonts w:hint="eastAsia" w:cs="Times New Roman"/>
                <w:i w:val="0"/>
                <w:iCs w:val="0"/>
                <w:color w:val="000000"/>
                <w:sz w:val="18"/>
                <w:szCs w:val="18"/>
                <w:u w:val="none"/>
                <w:lang w:eastAsia="zh-CN"/>
              </w:rPr>
            </w:pPr>
          </w:p>
        </w:tc>
        <w:tc>
          <w:tcPr>
            <w:tcW w:w="612" w:type="pct"/>
            <w:shd w:val="clear" w:color="auto" w:fill="auto"/>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jc w:val="center"/>
              <w:rPr>
                <w:rFonts w:hint="default" w:cs="Times New Roman"/>
                <w:kern w:val="2"/>
                <w:sz w:val="18"/>
                <w:szCs w:val="18"/>
                <w:highlight w:val="none"/>
                <w:lang w:val="en-US" w:eastAsia="zh-CN" w:bidi="ar-SA"/>
              </w:rPr>
            </w:pPr>
            <w:r>
              <w:rPr>
                <w:rFonts w:hint="eastAsia" w:cs="Times New Roman"/>
                <w:kern w:val="2"/>
                <w:sz w:val="18"/>
                <w:szCs w:val="18"/>
                <w:highlight w:val="none"/>
                <w:lang w:val="en-US" w:eastAsia="zh-CN" w:bidi="ar-SA"/>
              </w:rPr>
              <w:t>氯气</w:t>
            </w:r>
          </w:p>
        </w:tc>
        <w:tc>
          <w:tcPr>
            <w:tcW w:w="306" w:type="pct"/>
            <w:shd w:val="clear" w:color="auto" w:fill="auto"/>
            <w:noWrap/>
            <w:vAlign w:val="center"/>
          </w:tcPr>
          <w:p>
            <w:pPr>
              <w:keepNext w:val="0"/>
              <w:keepLines w:val="0"/>
              <w:widowControl/>
              <w:suppressLineNumbers w:val="0"/>
              <w:jc w:val="center"/>
              <w:textAlignment w:val="center"/>
              <w:rPr>
                <w:rFonts w:hint="default"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24</w:t>
            </w:r>
          </w:p>
        </w:tc>
        <w:tc>
          <w:tcPr>
            <w:tcW w:w="192"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196"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2</w:t>
            </w:r>
          </w:p>
        </w:tc>
        <w:tc>
          <w:tcPr>
            <w:tcW w:w="227"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100</w:t>
            </w:r>
          </w:p>
        </w:tc>
        <w:tc>
          <w:tcPr>
            <w:tcW w:w="191"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98"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6"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182"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1</w:t>
            </w:r>
          </w:p>
        </w:tc>
        <w:tc>
          <w:tcPr>
            <w:tcW w:w="20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w:t>
            </w:r>
          </w:p>
        </w:tc>
        <w:tc>
          <w:tcPr>
            <w:tcW w:w="22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kern w:val="2"/>
                <w:sz w:val="18"/>
                <w:szCs w:val="18"/>
                <w:u w:val="none"/>
                <w:lang w:val="en-US" w:eastAsia="zh-CN" w:bidi="ar-SA"/>
              </w:rPr>
              <w:t>100</w:t>
            </w:r>
          </w:p>
        </w:tc>
        <w:tc>
          <w:tcPr>
            <w:tcW w:w="187"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04"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c>
          <w:tcPr>
            <w:tcW w:w="225" w:type="pct"/>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18"/>
                <w:szCs w:val="18"/>
                <w:u w:val="none"/>
                <w:lang w:val="en-US" w:eastAsia="zh-CN" w:bidi="ar-SA"/>
              </w:rPr>
            </w:pPr>
            <w:r>
              <w:rPr>
                <w:rFonts w:hint="eastAsia" w:cs="Times New Roman"/>
                <w:i w:val="0"/>
                <w:iCs w:val="0"/>
                <w:color w:val="000000"/>
                <w:sz w:val="18"/>
                <w:szCs w:val="18"/>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甲醛</w:t>
            </w:r>
          </w:p>
        </w:tc>
        <w:tc>
          <w:tcPr>
            <w:tcW w:w="306" w:type="pct"/>
            <w:shd w:val="clear" w:color="auto" w:fill="auto"/>
            <w:noWrap/>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24</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氨</w:t>
            </w:r>
          </w:p>
        </w:tc>
        <w:tc>
          <w:tcPr>
            <w:tcW w:w="306" w:type="pct"/>
            <w:shd w:val="clear" w:color="auto" w:fill="auto"/>
            <w:noWrap/>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24</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二硫化碳</w:t>
            </w:r>
          </w:p>
        </w:tc>
        <w:tc>
          <w:tcPr>
            <w:tcW w:w="306" w:type="pct"/>
            <w:shd w:val="clear" w:color="auto" w:fill="auto"/>
            <w:noWrap/>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24</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非甲烷总烃</w:t>
            </w:r>
          </w:p>
        </w:tc>
        <w:tc>
          <w:tcPr>
            <w:tcW w:w="306" w:type="pct"/>
            <w:shd w:val="clear" w:color="auto" w:fill="auto"/>
            <w:noWrap/>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120</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12</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12</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4</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4</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restar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废水</w:t>
            </w:r>
          </w:p>
        </w:tc>
        <w:tc>
          <w:tcPr>
            <w:tcW w:w="612" w:type="pct"/>
            <w:shd w:val="clear" w:color="auto" w:fill="auto"/>
            <w:noWrap/>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pH值</w:t>
            </w:r>
          </w:p>
        </w:tc>
        <w:tc>
          <w:tcPr>
            <w:tcW w:w="306" w:type="pct"/>
            <w:shd w:val="clear" w:color="auto" w:fill="auto"/>
            <w:noWrap/>
            <w:vAlign w:val="center"/>
          </w:tcPr>
          <w:p>
            <w:pPr>
              <w:jc w:val="center"/>
              <w:rPr>
                <w:rFonts w:hint="default"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化学需氧量</w:t>
            </w:r>
          </w:p>
        </w:tc>
        <w:tc>
          <w:tcPr>
            <w:tcW w:w="306"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悬浮物</w:t>
            </w:r>
          </w:p>
        </w:tc>
        <w:tc>
          <w:tcPr>
            <w:tcW w:w="306"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甲醛</w:t>
            </w:r>
          </w:p>
        </w:tc>
        <w:tc>
          <w:tcPr>
            <w:tcW w:w="306"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总氰化物</w:t>
            </w:r>
          </w:p>
        </w:tc>
        <w:tc>
          <w:tcPr>
            <w:tcW w:w="306"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default"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挥发酚</w:t>
            </w:r>
          </w:p>
        </w:tc>
        <w:tc>
          <w:tcPr>
            <w:tcW w:w="306"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default"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氨氮</w:t>
            </w:r>
          </w:p>
        </w:tc>
        <w:tc>
          <w:tcPr>
            <w:tcW w:w="306"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default"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总氮</w:t>
            </w:r>
          </w:p>
        </w:tc>
        <w:tc>
          <w:tcPr>
            <w:tcW w:w="306"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default"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总磷</w:t>
            </w:r>
          </w:p>
        </w:tc>
        <w:tc>
          <w:tcPr>
            <w:tcW w:w="306"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trPr>
        <w:tc>
          <w:tcPr>
            <w:tcW w:w="57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435" w:type="pct"/>
            <w:vMerge w:val="continue"/>
            <w:shd w:val="clear" w:color="auto" w:fill="auto"/>
            <w:noWrap/>
            <w:vAlign w:val="center"/>
          </w:tcPr>
          <w:p>
            <w:pPr>
              <w:jc w:val="center"/>
              <w:rPr>
                <w:rFonts w:hint="default" w:ascii="Times New Roman" w:hAnsi="Times New Roman" w:eastAsia="宋体" w:cs="Times New Roman"/>
                <w:i w:val="0"/>
                <w:iCs w:val="0"/>
                <w:color w:val="000000"/>
                <w:sz w:val="18"/>
                <w:szCs w:val="18"/>
                <w:u w:val="none"/>
              </w:rPr>
            </w:pPr>
          </w:p>
        </w:tc>
        <w:tc>
          <w:tcPr>
            <w:tcW w:w="612" w:type="pct"/>
            <w:shd w:val="clear" w:color="auto" w:fill="auto"/>
            <w:noWrap/>
            <w:vAlign w:val="center"/>
          </w:tcPr>
          <w:p>
            <w:pPr>
              <w:jc w:val="center"/>
              <w:rPr>
                <w:rFonts w:hint="default"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石油类</w:t>
            </w:r>
          </w:p>
        </w:tc>
        <w:tc>
          <w:tcPr>
            <w:tcW w:w="306" w:type="pct"/>
            <w:shd w:val="clear" w:color="auto" w:fill="auto"/>
            <w:noWrap/>
            <w:vAlign w:val="center"/>
          </w:tcPr>
          <w:p>
            <w:pPr>
              <w:jc w:val="center"/>
              <w:rPr>
                <w:rFonts w:hint="eastAsia" w:ascii="Times New Roman" w:hAnsi="Times New Roman" w:eastAsia="宋体" w:cs="Times New Roman"/>
                <w:i w:val="0"/>
                <w:iCs w:val="0"/>
                <w:color w:val="000000"/>
                <w:sz w:val="18"/>
                <w:szCs w:val="18"/>
                <w:u w:val="none"/>
                <w:lang w:val="en-US" w:eastAsia="zh-CN"/>
              </w:rPr>
            </w:pPr>
            <w:r>
              <w:rPr>
                <w:rFonts w:hint="eastAsia" w:cs="Times New Roman"/>
                <w:i w:val="0"/>
                <w:iCs w:val="0"/>
                <w:color w:val="000000"/>
                <w:sz w:val="18"/>
                <w:szCs w:val="18"/>
                <w:u w:val="none"/>
                <w:lang w:val="en-US" w:eastAsia="zh-CN"/>
              </w:rPr>
              <w:t>8</w:t>
            </w:r>
          </w:p>
        </w:tc>
        <w:tc>
          <w:tcPr>
            <w:tcW w:w="19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19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2</w:t>
            </w:r>
          </w:p>
        </w:tc>
        <w:tc>
          <w:tcPr>
            <w:tcW w:w="22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91"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98"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6"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182"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w:t>
            </w:r>
          </w:p>
        </w:tc>
        <w:tc>
          <w:tcPr>
            <w:tcW w:w="22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100</w:t>
            </w:r>
          </w:p>
        </w:tc>
        <w:tc>
          <w:tcPr>
            <w:tcW w:w="187"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04"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c>
          <w:tcPr>
            <w:tcW w:w="225" w:type="pc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eastAsia" w:cs="Times New Roman"/>
                <w:i w:val="0"/>
                <w:iCs w:val="0"/>
                <w:color w:val="000000"/>
                <w:kern w:val="0"/>
                <w:sz w:val="18"/>
                <w:szCs w:val="18"/>
                <w:u w:val="none"/>
                <w:lang w:val="en-US" w:eastAsia="zh-CN" w:bidi="ar"/>
              </w:rPr>
              <w:t>/</w:t>
            </w:r>
          </w:p>
        </w:tc>
      </w:tr>
    </w:tbl>
    <w:p>
      <w:pPr>
        <w:pStyle w:val="2"/>
        <w:rPr>
          <w:rFonts w:hint="eastAsia"/>
          <w:lang w:val="en-US" w:eastAsia="zh-CN"/>
        </w:rPr>
      </w:pP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1567"/>
        <w:gridCol w:w="2102"/>
        <w:gridCol w:w="2277"/>
        <w:gridCol w:w="1419"/>
        <w:gridCol w:w="1527"/>
        <w:gridCol w:w="1580"/>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47" w:type="pct"/>
            <w:vMerge w:val="restart"/>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任务单号</w:t>
            </w:r>
          </w:p>
        </w:tc>
        <w:tc>
          <w:tcPr>
            <w:tcW w:w="552" w:type="pct"/>
            <w:vMerge w:val="restart"/>
            <w:noWrap/>
            <w:vAlign w:val="center"/>
          </w:tcPr>
          <w:p>
            <w:pPr>
              <w:keepNext w:val="0"/>
              <w:keepLines w:val="0"/>
              <w:widowControl/>
              <w:suppressLineNumbers w:val="0"/>
              <w:jc w:val="center"/>
              <w:textAlignment w:val="center"/>
              <w:rPr>
                <w:rFonts w:hint="eastAsia"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检测日期</w:t>
            </w:r>
          </w:p>
        </w:tc>
        <w:tc>
          <w:tcPr>
            <w:tcW w:w="742" w:type="pct"/>
            <w:vMerge w:val="restart"/>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cs="Times New Roman"/>
                <w:i w:val="0"/>
                <w:iCs w:val="0"/>
                <w:color w:val="000000"/>
                <w:sz w:val="21"/>
                <w:szCs w:val="21"/>
                <w:u w:val="none"/>
                <w:lang w:val="en-US" w:eastAsia="zh-CN"/>
              </w:rPr>
              <w:t>声级计型号及编号</w:t>
            </w:r>
          </w:p>
        </w:tc>
        <w:tc>
          <w:tcPr>
            <w:tcW w:w="803" w:type="pct"/>
            <w:vMerge w:val="restart"/>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cs="Times New Roman"/>
                <w:i w:val="0"/>
                <w:iCs w:val="0"/>
                <w:color w:val="000000"/>
                <w:sz w:val="21"/>
                <w:szCs w:val="21"/>
                <w:u w:val="none"/>
                <w:lang w:val="en-US" w:eastAsia="zh-CN"/>
              </w:rPr>
              <w:t>声校准器型号及编号</w:t>
            </w:r>
          </w:p>
        </w:tc>
        <w:tc>
          <w:tcPr>
            <w:tcW w:w="1597" w:type="pct"/>
            <w:gridSpan w:val="3"/>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cs="Times New Roman"/>
                <w:i w:val="0"/>
                <w:iCs w:val="0"/>
                <w:color w:val="000000"/>
                <w:sz w:val="21"/>
                <w:szCs w:val="21"/>
                <w:u w:val="none"/>
                <w:lang w:val="en-US" w:eastAsia="zh-CN"/>
              </w:rPr>
              <w:t>校准结果dB(A)</w:t>
            </w:r>
          </w:p>
        </w:tc>
        <w:tc>
          <w:tcPr>
            <w:tcW w:w="657" w:type="pct"/>
            <w:vMerge w:val="restart"/>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cs="Times New Roman"/>
                <w:i w:val="0"/>
                <w:iCs w:val="0"/>
                <w:color w:val="000000"/>
                <w:sz w:val="21"/>
                <w:szCs w:val="21"/>
                <w:u w:val="none"/>
                <w:lang w:val="en-US" w:eastAsia="zh-CN"/>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47" w:type="pct"/>
            <w:vMerge w:val="continue"/>
            <w:noWrap/>
            <w:vAlign w:val="center"/>
          </w:tcPr>
          <w:p>
            <w:pPr>
              <w:jc w:val="center"/>
              <w:rPr>
                <w:rFonts w:hint="default" w:ascii="Times New Roman" w:hAnsi="Times New Roman" w:eastAsia="宋体" w:cs="Times New Roman"/>
                <w:i w:val="0"/>
                <w:iCs w:val="0"/>
                <w:color w:val="000000"/>
                <w:sz w:val="21"/>
                <w:szCs w:val="21"/>
                <w:u w:val="none"/>
              </w:rPr>
            </w:pPr>
          </w:p>
        </w:tc>
        <w:tc>
          <w:tcPr>
            <w:tcW w:w="552" w:type="pct"/>
            <w:vMerge w:val="continue"/>
            <w:noWrap/>
            <w:vAlign w:val="center"/>
          </w:tcPr>
          <w:p>
            <w:pPr>
              <w:jc w:val="center"/>
              <w:rPr>
                <w:rFonts w:hint="default" w:ascii="Times New Roman" w:hAnsi="Times New Roman" w:eastAsia="宋体" w:cs="Times New Roman"/>
                <w:i w:val="0"/>
                <w:iCs w:val="0"/>
                <w:color w:val="000000"/>
                <w:sz w:val="21"/>
                <w:szCs w:val="21"/>
                <w:u w:val="none"/>
              </w:rPr>
            </w:pPr>
          </w:p>
        </w:tc>
        <w:tc>
          <w:tcPr>
            <w:tcW w:w="742" w:type="pct"/>
            <w:vMerge w:val="continue"/>
            <w:noWrap/>
            <w:vAlign w:val="center"/>
          </w:tcPr>
          <w:p>
            <w:pPr>
              <w:jc w:val="center"/>
              <w:rPr>
                <w:rFonts w:hint="default" w:ascii="Times New Roman" w:hAnsi="Times New Roman" w:eastAsia="宋体" w:cs="Times New Roman"/>
                <w:i w:val="0"/>
                <w:iCs w:val="0"/>
                <w:color w:val="000000"/>
                <w:sz w:val="21"/>
                <w:szCs w:val="21"/>
                <w:u w:val="none"/>
              </w:rPr>
            </w:pPr>
          </w:p>
        </w:tc>
        <w:tc>
          <w:tcPr>
            <w:tcW w:w="803" w:type="pct"/>
            <w:vMerge w:val="continue"/>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p>
        </w:tc>
        <w:tc>
          <w:tcPr>
            <w:tcW w:w="500" w:type="pct"/>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cs="Times New Roman"/>
                <w:i w:val="0"/>
                <w:iCs w:val="0"/>
                <w:color w:val="000000"/>
                <w:sz w:val="21"/>
                <w:szCs w:val="21"/>
                <w:u w:val="none"/>
                <w:lang w:val="en-US" w:eastAsia="zh-CN"/>
              </w:rPr>
              <w:t>监测前</w:t>
            </w:r>
          </w:p>
        </w:tc>
        <w:tc>
          <w:tcPr>
            <w:tcW w:w="538" w:type="pct"/>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cs="Times New Roman"/>
                <w:i w:val="0"/>
                <w:iCs w:val="0"/>
                <w:color w:val="000000"/>
                <w:sz w:val="21"/>
                <w:szCs w:val="21"/>
                <w:u w:val="none"/>
                <w:lang w:val="en-US" w:eastAsia="zh-CN"/>
              </w:rPr>
              <w:t>监测后</w:t>
            </w:r>
          </w:p>
        </w:tc>
        <w:tc>
          <w:tcPr>
            <w:tcW w:w="557" w:type="pct"/>
            <w:noWrap w:val="0"/>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1"/>
                <w:szCs w:val="21"/>
                <w:u w:val="none"/>
                <w:lang w:val="en-US" w:eastAsia="zh-CN"/>
              </w:rPr>
            </w:pPr>
            <w:r>
              <w:rPr>
                <w:rFonts w:hint="eastAsia" w:cs="Times New Roman"/>
                <w:i w:val="0"/>
                <w:iCs w:val="0"/>
                <w:color w:val="000000"/>
                <w:sz w:val="21"/>
                <w:szCs w:val="21"/>
                <w:u w:val="none"/>
                <w:lang w:val="en-US" w:eastAsia="zh-CN"/>
              </w:rPr>
              <w:t>示值偏差</w:t>
            </w:r>
          </w:p>
        </w:tc>
        <w:tc>
          <w:tcPr>
            <w:tcW w:w="657" w:type="pct"/>
            <w:vMerge w:val="continue"/>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47" w:type="pct"/>
            <w:vMerge w:val="restart"/>
            <w:noWrap/>
            <w:vAlign w:val="center"/>
          </w:tcPr>
          <w:p>
            <w:pPr>
              <w:keepNext w:val="0"/>
              <w:keepLines w:val="0"/>
              <w:widowControl/>
              <w:suppressLineNumbers w:val="0"/>
              <w:jc w:val="center"/>
              <w:textAlignment w:val="center"/>
              <w:rPr>
                <w:rFonts w:hint="default" w:cs="Times New Roman"/>
                <w:i w:val="0"/>
                <w:iCs w:val="0"/>
                <w:color w:val="000000"/>
                <w:kern w:val="0"/>
                <w:sz w:val="21"/>
                <w:szCs w:val="21"/>
                <w:u w:val="none"/>
                <w:lang w:val="en-US" w:eastAsia="zh-CN" w:bidi="ar"/>
              </w:rPr>
            </w:pPr>
            <w:r>
              <w:rPr>
                <w:rFonts w:hint="eastAsia" w:ascii="Times New Roman" w:hAnsi="Times New Roman"/>
                <w:b w:val="0"/>
                <w:bCs/>
                <w:sz w:val="21"/>
                <w:szCs w:val="21"/>
                <w:lang w:val="en-US" w:eastAsia="zh-CN"/>
              </w:rPr>
              <w:t>BPT2023</w:t>
            </w:r>
            <w:r>
              <w:rPr>
                <w:rFonts w:hint="eastAsia"/>
                <w:b w:val="0"/>
                <w:bCs/>
                <w:sz w:val="21"/>
                <w:szCs w:val="21"/>
                <w:lang w:val="en-US" w:eastAsia="zh-CN"/>
              </w:rPr>
              <w:t>819</w:t>
            </w:r>
            <w:r>
              <w:rPr>
                <w:rFonts w:hint="eastAsia" w:ascii="Times New Roman" w:hAnsi="Times New Roman"/>
                <w:b w:val="0"/>
                <w:bCs/>
                <w:sz w:val="21"/>
                <w:szCs w:val="21"/>
                <w:lang w:val="en-US" w:eastAsia="zh-CN"/>
              </w:rPr>
              <w:t>（HJCY）</w:t>
            </w:r>
          </w:p>
        </w:tc>
        <w:tc>
          <w:tcPr>
            <w:tcW w:w="552" w:type="pct"/>
            <w:noWrap/>
            <w:vAlign w:val="center"/>
          </w:tcPr>
          <w:p>
            <w:pPr>
              <w:keepNext w:val="0"/>
              <w:keepLines w:val="0"/>
              <w:widowControl/>
              <w:suppressLineNumbers w:val="0"/>
              <w:jc w:val="center"/>
              <w:textAlignment w:val="center"/>
              <w:rPr>
                <w:rFonts w:hint="default"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202312.18</w:t>
            </w:r>
          </w:p>
        </w:tc>
        <w:tc>
          <w:tcPr>
            <w:tcW w:w="742" w:type="pct"/>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sz w:val="21"/>
                <w:szCs w:val="21"/>
                <w:lang w:val="en-US" w:eastAsia="zh-CN"/>
              </w:rPr>
            </w:pPr>
            <w:r>
              <w:rPr>
                <w:rFonts w:hint="default"/>
                <w:sz w:val="21"/>
                <w:szCs w:val="21"/>
                <w:lang w:val="en-US" w:eastAsia="zh-CN"/>
              </w:rPr>
              <w:t>AWA6228+</w:t>
            </w:r>
          </w:p>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21"/>
                <w:szCs w:val="21"/>
                <w:lang w:val="en-US" w:eastAsia="zh-CN" w:bidi="ar-SA"/>
              </w:rPr>
            </w:pPr>
            <w:r>
              <w:rPr>
                <w:rFonts w:hint="default"/>
                <w:sz w:val="21"/>
                <w:szCs w:val="21"/>
                <w:lang w:val="en-US" w:eastAsia="zh-CN"/>
              </w:rPr>
              <w:t>BPT-04-GD-0149</w:t>
            </w:r>
          </w:p>
        </w:tc>
        <w:tc>
          <w:tcPr>
            <w:tcW w:w="803" w:type="pct"/>
            <w:noWrap/>
            <w:vAlign w:val="center"/>
          </w:tcPr>
          <w:p>
            <w:pPr>
              <w:keepNext w:val="0"/>
              <w:keepLines w:val="0"/>
              <w:widowControl/>
              <w:suppressLineNumbers w:val="0"/>
              <w:jc w:val="center"/>
              <w:textAlignment w:val="center"/>
              <w:rPr>
                <w:rFonts w:hint="default"/>
                <w:lang w:val="en-US" w:eastAsia="zh-CN"/>
              </w:rPr>
            </w:pPr>
            <w:r>
              <w:rPr>
                <w:rFonts w:hint="default"/>
                <w:lang w:val="en-US" w:eastAsia="zh-CN"/>
              </w:rPr>
              <w:t>AWA6021A</w:t>
            </w:r>
          </w:p>
          <w:p>
            <w:pPr>
              <w:keepNext w:val="0"/>
              <w:keepLines w:val="0"/>
              <w:widowControl/>
              <w:suppressLineNumbers w:val="0"/>
              <w:jc w:val="center"/>
              <w:textAlignment w:val="center"/>
              <w:rPr>
                <w:rFonts w:hint="default"/>
                <w:lang w:val="en-US" w:eastAsia="zh-CN"/>
              </w:rPr>
            </w:pPr>
            <w:r>
              <w:rPr>
                <w:rFonts w:hint="default"/>
                <w:lang w:val="en-US" w:eastAsia="zh-CN"/>
              </w:rPr>
              <w:t>BPT-04-GD-0150</w:t>
            </w:r>
          </w:p>
        </w:tc>
        <w:tc>
          <w:tcPr>
            <w:tcW w:w="500" w:type="pct"/>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cs="Times New Roman"/>
                <w:i w:val="0"/>
                <w:iCs w:val="0"/>
                <w:color w:val="000000"/>
                <w:kern w:val="2"/>
                <w:sz w:val="21"/>
                <w:szCs w:val="21"/>
                <w:u w:val="none"/>
                <w:lang w:val="en-US" w:eastAsia="zh-CN" w:bidi="ar-SA"/>
              </w:rPr>
              <w:t>93.8</w:t>
            </w:r>
          </w:p>
        </w:tc>
        <w:tc>
          <w:tcPr>
            <w:tcW w:w="538" w:type="pct"/>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cs="Times New Roman"/>
                <w:i w:val="0"/>
                <w:iCs w:val="0"/>
                <w:color w:val="000000"/>
                <w:kern w:val="2"/>
                <w:sz w:val="21"/>
                <w:szCs w:val="21"/>
                <w:u w:val="none"/>
                <w:lang w:val="en-US" w:eastAsia="zh-CN" w:bidi="ar-SA"/>
              </w:rPr>
              <w:t>93.8</w:t>
            </w:r>
          </w:p>
        </w:tc>
        <w:tc>
          <w:tcPr>
            <w:tcW w:w="557" w:type="pct"/>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cs="Times New Roman"/>
                <w:i w:val="0"/>
                <w:iCs w:val="0"/>
                <w:color w:val="000000"/>
                <w:kern w:val="2"/>
                <w:sz w:val="21"/>
                <w:szCs w:val="21"/>
                <w:u w:val="none"/>
                <w:lang w:val="en-US" w:eastAsia="zh-CN" w:bidi="ar-SA"/>
              </w:rPr>
              <w:t>0</w:t>
            </w:r>
          </w:p>
        </w:tc>
        <w:tc>
          <w:tcPr>
            <w:tcW w:w="657" w:type="pct"/>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cs="Times New Roman"/>
                <w:i w:val="0"/>
                <w:iCs w:val="0"/>
                <w:color w:val="000000"/>
                <w:kern w:val="2"/>
                <w:sz w:val="21"/>
                <w:szCs w:val="21"/>
                <w:u w:val="none"/>
                <w:lang w:val="en-US" w:eastAsia="zh-CN" w:bidi="ar-SA"/>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47" w:type="pct"/>
            <w:vMerge w:val="continue"/>
            <w:noWrap/>
            <w:vAlign w:val="center"/>
          </w:tcPr>
          <w:p>
            <w:pPr>
              <w:keepNext w:val="0"/>
              <w:keepLines w:val="0"/>
              <w:widowControl/>
              <w:suppressLineNumbers w:val="0"/>
              <w:jc w:val="center"/>
              <w:textAlignment w:val="center"/>
              <w:rPr>
                <w:rFonts w:hint="eastAsia" w:cs="Times New Roman"/>
                <w:i w:val="0"/>
                <w:iCs w:val="0"/>
                <w:color w:val="000000"/>
                <w:kern w:val="0"/>
                <w:sz w:val="21"/>
                <w:szCs w:val="21"/>
                <w:u w:val="none"/>
                <w:lang w:val="en-US" w:eastAsia="zh-CN" w:bidi="ar"/>
              </w:rPr>
            </w:pPr>
          </w:p>
        </w:tc>
        <w:tc>
          <w:tcPr>
            <w:tcW w:w="552" w:type="pct"/>
            <w:noWrap/>
            <w:vAlign w:val="center"/>
          </w:tcPr>
          <w:p>
            <w:pPr>
              <w:keepNext w:val="0"/>
              <w:keepLines w:val="0"/>
              <w:widowControl/>
              <w:suppressLineNumbers w:val="0"/>
              <w:jc w:val="center"/>
              <w:textAlignment w:val="center"/>
              <w:rPr>
                <w:rFonts w:hint="default" w:cs="Times New Roman"/>
                <w:i w:val="0"/>
                <w:iCs w:val="0"/>
                <w:color w:val="000000"/>
                <w:kern w:val="0"/>
                <w:sz w:val="21"/>
                <w:szCs w:val="21"/>
                <w:u w:val="none"/>
                <w:lang w:val="en-US" w:eastAsia="zh-CN" w:bidi="ar"/>
              </w:rPr>
            </w:pPr>
            <w:r>
              <w:rPr>
                <w:rFonts w:hint="eastAsia" w:cs="Times New Roman"/>
                <w:i w:val="0"/>
                <w:iCs w:val="0"/>
                <w:color w:val="000000"/>
                <w:kern w:val="0"/>
                <w:sz w:val="21"/>
                <w:szCs w:val="21"/>
                <w:u w:val="none"/>
                <w:lang w:val="en-US" w:eastAsia="zh-CN" w:bidi="ar"/>
              </w:rPr>
              <w:t>2023.12.19</w:t>
            </w:r>
          </w:p>
        </w:tc>
        <w:tc>
          <w:tcPr>
            <w:tcW w:w="742" w:type="pct"/>
            <w:noWrap/>
            <w:vAlign w:val="center"/>
          </w:tcPr>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sz w:val="21"/>
                <w:szCs w:val="21"/>
                <w:lang w:val="en-US" w:eastAsia="zh-CN"/>
              </w:rPr>
            </w:pPr>
            <w:r>
              <w:rPr>
                <w:rFonts w:hint="default"/>
                <w:sz w:val="21"/>
                <w:szCs w:val="21"/>
                <w:lang w:val="en-US" w:eastAsia="zh-CN"/>
              </w:rPr>
              <w:t>AWA6228+</w:t>
            </w:r>
          </w:p>
          <w:p>
            <w:pPr>
              <w:pStyle w:val="28"/>
              <w:keepNext w:val="0"/>
              <w:keepLines w:val="0"/>
              <w:pageBreakBefore w:val="0"/>
              <w:kinsoku w:val="0"/>
              <w:wordWrap/>
              <w:overflowPunct w:val="0"/>
              <w:topLinePunct w:val="0"/>
              <w:autoSpaceDE/>
              <w:autoSpaceDN/>
              <w:bidi w:val="0"/>
              <w:adjustRightInd/>
              <w:snapToGrid/>
              <w:spacing w:before="0" w:line="0" w:lineRule="atLeast"/>
              <w:ind w:left="0" w:leftChars="0"/>
              <w:rPr>
                <w:rFonts w:hint="default" w:ascii="Times New Roman" w:hAnsi="Times New Roman" w:eastAsia="宋体" w:cs="Times New Roman"/>
                <w:kern w:val="2"/>
                <w:sz w:val="21"/>
                <w:szCs w:val="21"/>
                <w:lang w:val="en-US" w:eastAsia="zh-CN" w:bidi="ar-SA"/>
              </w:rPr>
            </w:pPr>
            <w:r>
              <w:rPr>
                <w:rFonts w:hint="default"/>
                <w:sz w:val="21"/>
                <w:szCs w:val="21"/>
                <w:lang w:val="en-US" w:eastAsia="zh-CN"/>
              </w:rPr>
              <w:t>BPT-04-GD-0149</w:t>
            </w:r>
          </w:p>
        </w:tc>
        <w:tc>
          <w:tcPr>
            <w:tcW w:w="803" w:type="pct"/>
            <w:noWrap/>
            <w:vAlign w:val="center"/>
          </w:tcPr>
          <w:p>
            <w:pPr>
              <w:keepNext w:val="0"/>
              <w:keepLines w:val="0"/>
              <w:widowControl/>
              <w:suppressLineNumbers w:val="0"/>
              <w:jc w:val="center"/>
              <w:textAlignment w:val="center"/>
              <w:rPr>
                <w:rFonts w:hint="default"/>
                <w:lang w:val="en-US" w:eastAsia="zh-CN"/>
              </w:rPr>
            </w:pPr>
            <w:r>
              <w:rPr>
                <w:rFonts w:hint="default"/>
                <w:lang w:val="en-US" w:eastAsia="zh-CN"/>
              </w:rPr>
              <w:t>AWA6021A</w:t>
            </w:r>
          </w:p>
          <w:p>
            <w:pPr>
              <w:keepNext w:val="0"/>
              <w:keepLines w:val="0"/>
              <w:widowControl/>
              <w:suppressLineNumbers w:val="0"/>
              <w:jc w:val="center"/>
              <w:textAlignment w:val="center"/>
              <w:rPr>
                <w:rFonts w:hint="default" w:ascii="Times New Roman" w:hAnsi="Times New Roman" w:eastAsia="宋体" w:cs="Times New Roman"/>
                <w:kern w:val="2"/>
                <w:sz w:val="21"/>
                <w:szCs w:val="24"/>
                <w:lang w:val="en-US" w:eastAsia="zh-CN" w:bidi="ar-SA"/>
              </w:rPr>
            </w:pPr>
            <w:r>
              <w:rPr>
                <w:rFonts w:hint="default"/>
                <w:lang w:val="en-US" w:eastAsia="zh-CN"/>
              </w:rPr>
              <w:t>BPT-04-GD-0150</w:t>
            </w:r>
          </w:p>
        </w:tc>
        <w:tc>
          <w:tcPr>
            <w:tcW w:w="500" w:type="pct"/>
            <w:noWrap/>
            <w:vAlign w:val="center"/>
          </w:tcPr>
          <w:p>
            <w:pPr>
              <w:keepNext w:val="0"/>
              <w:keepLines w:val="0"/>
              <w:widowControl/>
              <w:suppressLineNumbers w:val="0"/>
              <w:jc w:val="center"/>
              <w:textAlignment w:val="center"/>
              <w:rPr>
                <w:rFonts w:hint="default" w:cs="Times New Roman"/>
                <w:i w:val="0"/>
                <w:iCs w:val="0"/>
                <w:color w:val="000000"/>
                <w:kern w:val="2"/>
                <w:sz w:val="21"/>
                <w:szCs w:val="21"/>
                <w:u w:val="none"/>
                <w:lang w:val="en-US" w:eastAsia="zh-CN" w:bidi="ar-SA"/>
              </w:rPr>
            </w:pPr>
            <w:r>
              <w:rPr>
                <w:rFonts w:hint="eastAsia" w:cs="Times New Roman"/>
                <w:i w:val="0"/>
                <w:iCs w:val="0"/>
                <w:color w:val="000000"/>
                <w:kern w:val="2"/>
                <w:sz w:val="21"/>
                <w:szCs w:val="21"/>
                <w:u w:val="none"/>
                <w:lang w:val="en-US" w:eastAsia="zh-CN" w:bidi="ar-SA"/>
              </w:rPr>
              <w:t>93.8</w:t>
            </w:r>
          </w:p>
        </w:tc>
        <w:tc>
          <w:tcPr>
            <w:tcW w:w="538" w:type="pct"/>
            <w:noWrap/>
            <w:vAlign w:val="center"/>
          </w:tcPr>
          <w:p>
            <w:pPr>
              <w:keepNext w:val="0"/>
              <w:keepLines w:val="0"/>
              <w:widowControl/>
              <w:suppressLineNumbers w:val="0"/>
              <w:jc w:val="center"/>
              <w:textAlignment w:val="center"/>
              <w:rPr>
                <w:rFonts w:hint="default" w:cs="Times New Roman"/>
                <w:i w:val="0"/>
                <w:iCs w:val="0"/>
                <w:color w:val="000000"/>
                <w:kern w:val="2"/>
                <w:sz w:val="21"/>
                <w:szCs w:val="21"/>
                <w:u w:val="none"/>
                <w:lang w:val="en-US" w:eastAsia="zh-CN" w:bidi="ar-SA"/>
              </w:rPr>
            </w:pPr>
            <w:r>
              <w:rPr>
                <w:rFonts w:hint="eastAsia" w:cs="Times New Roman"/>
                <w:i w:val="0"/>
                <w:iCs w:val="0"/>
                <w:color w:val="000000"/>
                <w:kern w:val="2"/>
                <w:sz w:val="21"/>
                <w:szCs w:val="21"/>
                <w:u w:val="none"/>
                <w:lang w:val="en-US" w:eastAsia="zh-CN" w:bidi="ar-SA"/>
              </w:rPr>
              <w:t>93.8</w:t>
            </w:r>
          </w:p>
        </w:tc>
        <w:tc>
          <w:tcPr>
            <w:tcW w:w="557" w:type="pct"/>
            <w:noWrap/>
            <w:vAlign w:val="center"/>
          </w:tcPr>
          <w:p>
            <w:pPr>
              <w:keepNext w:val="0"/>
              <w:keepLines w:val="0"/>
              <w:widowControl/>
              <w:suppressLineNumbers w:val="0"/>
              <w:jc w:val="center"/>
              <w:textAlignment w:val="center"/>
              <w:rPr>
                <w:rFonts w:hint="default" w:cs="Times New Roman"/>
                <w:i w:val="0"/>
                <w:iCs w:val="0"/>
                <w:color w:val="000000"/>
                <w:kern w:val="2"/>
                <w:sz w:val="21"/>
                <w:szCs w:val="21"/>
                <w:u w:val="none"/>
                <w:lang w:val="en-US" w:eastAsia="zh-CN" w:bidi="ar-SA"/>
              </w:rPr>
            </w:pPr>
            <w:r>
              <w:rPr>
                <w:rFonts w:hint="eastAsia" w:cs="Times New Roman"/>
                <w:i w:val="0"/>
                <w:iCs w:val="0"/>
                <w:color w:val="000000"/>
                <w:kern w:val="2"/>
                <w:sz w:val="21"/>
                <w:szCs w:val="21"/>
                <w:u w:val="none"/>
                <w:lang w:val="en-US" w:eastAsia="zh-CN" w:bidi="ar-SA"/>
              </w:rPr>
              <w:t>0</w:t>
            </w:r>
          </w:p>
        </w:tc>
        <w:tc>
          <w:tcPr>
            <w:tcW w:w="657" w:type="pct"/>
            <w:noWrap/>
            <w:vAlign w:val="center"/>
          </w:tcPr>
          <w:p>
            <w:pPr>
              <w:keepNext w:val="0"/>
              <w:keepLines w:val="0"/>
              <w:widowControl/>
              <w:suppressLineNumbers w:val="0"/>
              <w:jc w:val="center"/>
              <w:textAlignment w:val="center"/>
              <w:rPr>
                <w:rFonts w:hint="eastAsia" w:cs="Times New Roman"/>
                <w:i w:val="0"/>
                <w:iCs w:val="0"/>
                <w:color w:val="000000"/>
                <w:kern w:val="2"/>
                <w:sz w:val="21"/>
                <w:szCs w:val="21"/>
                <w:u w:val="none"/>
                <w:lang w:val="en-US" w:eastAsia="zh-CN" w:bidi="ar-SA"/>
              </w:rPr>
            </w:pPr>
            <w:r>
              <w:rPr>
                <w:rFonts w:hint="eastAsia" w:cs="Times New Roman"/>
                <w:i w:val="0"/>
                <w:iCs w:val="0"/>
                <w:color w:val="000000"/>
                <w:kern w:val="2"/>
                <w:sz w:val="21"/>
                <w:szCs w:val="21"/>
                <w:u w:val="none"/>
                <w:lang w:val="en-US" w:eastAsia="zh-CN" w:bidi="ar-SA"/>
              </w:rPr>
              <w:t>是</w:t>
            </w:r>
          </w:p>
        </w:tc>
      </w:tr>
    </w:tbl>
    <w:p>
      <w:pPr>
        <w:pStyle w:val="2"/>
        <w:rPr>
          <w:rFonts w:hint="eastAsia"/>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bidi w:val="0"/>
        <w:rPr>
          <w:rFonts w:hint="eastAsia" w:ascii="宋体" w:hAnsi="宋体" w:eastAsia="宋体" w:cs="宋体"/>
          <w:sz w:val="32"/>
          <w:szCs w:val="20"/>
          <w:lang w:val="en-US" w:eastAsia="zh-CN"/>
        </w:rPr>
      </w:pPr>
      <w:bookmarkStart w:id="104" w:name="_Toc2616"/>
      <w:r>
        <w:rPr>
          <w:rFonts w:hint="eastAsia" w:ascii="宋体" w:hAnsi="宋体" w:eastAsia="宋体" w:cs="宋体"/>
          <w:sz w:val="32"/>
          <w:szCs w:val="20"/>
          <w:lang w:val="en-US" w:eastAsia="zh-CN"/>
        </w:rPr>
        <w:t>表六</w:t>
      </w:r>
      <w:bookmarkEnd w:id="104"/>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验收监测内容：</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根据该项目污染物排放特点，</w:t>
            </w:r>
            <w:r>
              <w:rPr>
                <w:rFonts w:hint="default" w:ascii="Times New Roman" w:hAnsi="Times New Roman" w:eastAsia="宋体" w:cs="Times New Roman"/>
                <w:sz w:val="24"/>
                <w:szCs w:val="24"/>
                <w:lang w:val="en-US" w:eastAsia="zh-CN"/>
              </w:rPr>
              <w:t>江苏标普检测科技有限公司</w:t>
            </w:r>
            <w:r>
              <w:rPr>
                <w:rFonts w:hint="default" w:ascii="Times New Roman" w:hAnsi="Times New Roman" w:eastAsia="宋体" w:cs="Times New Roman"/>
                <w:sz w:val="24"/>
                <w:szCs w:val="24"/>
              </w:rPr>
              <w:t>对项目废气</w:t>
            </w:r>
            <w:r>
              <w:rPr>
                <w:rFonts w:hint="default" w:ascii="Times New Roman" w:hAnsi="Times New Roman" w:eastAsia="宋体" w:cs="Times New Roman"/>
                <w:sz w:val="24"/>
                <w:szCs w:val="24"/>
                <w:lang w:eastAsia="zh-CN"/>
              </w:rPr>
              <w:t>、废水</w:t>
            </w:r>
            <w:r>
              <w:rPr>
                <w:rFonts w:hint="default" w:ascii="Times New Roman" w:hAnsi="Times New Roman" w:eastAsia="宋体" w:cs="Times New Roman"/>
                <w:sz w:val="24"/>
                <w:szCs w:val="24"/>
              </w:rPr>
              <w:t>和噪声进行了验收监测，对固体废物处理处置情况、环境管理情况进行现场调查。</w:t>
            </w:r>
          </w:p>
          <w:p>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1、废气监测内容</w:t>
            </w:r>
          </w:p>
          <w:p>
            <w:pPr>
              <w:snapToGrid w:val="0"/>
              <w:spacing w:line="240" w:lineRule="auto"/>
              <w:jc w:val="center"/>
              <w:rPr>
                <w:rFonts w:hint="default" w:ascii="Times New Roman" w:hAnsi="Times New Roman" w:eastAsia="宋体" w:cs="Times New Roman"/>
                <w:b/>
                <w:bCs/>
              </w:rPr>
            </w:pPr>
            <w:r>
              <w:rPr>
                <w:rFonts w:hint="default" w:ascii="Times New Roman" w:hAnsi="Times New Roman" w:eastAsia="宋体" w:cs="Times New Roman"/>
                <w:b/>
                <w:bCs/>
              </w:rPr>
              <w:t>表6-1  废气监测内容及频次</w:t>
            </w:r>
          </w:p>
          <w:tbl>
            <w:tblPr>
              <w:tblStyle w:val="2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75"/>
              <w:gridCol w:w="2075"/>
              <w:gridCol w:w="2075"/>
              <w:gridCol w:w="207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9" w:type="pc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类别</w:t>
                  </w:r>
                </w:p>
              </w:tc>
              <w:tc>
                <w:tcPr>
                  <w:tcW w:w="1249" w:type="pc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监测点位</w:t>
                  </w:r>
                </w:p>
              </w:tc>
              <w:tc>
                <w:tcPr>
                  <w:tcW w:w="1249" w:type="pc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监测项目</w:t>
                  </w:r>
                </w:p>
              </w:tc>
              <w:tc>
                <w:tcPr>
                  <w:tcW w:w="1251" w:type="pc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1249" w:type="pct"/>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1249" w:type="pct"/>
                  <w:noWrap w:val="0"/>
                  <w:vAlign w:val="center"/>
                </w:tcPr>
                <w:p>
                  <w:pPr>
                    <w:keepNext w:val="0"/>
                    <w:keepLines w:val="0"/>
                    <w:pageBreakBefore w:val="0"/>
                    <w:tabs>
                      <w:tab w:val="left" w:pos="3040"/>
                    </w:tabs>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lang w:val="en-US" w:eastAsia="zh-CN"/>
                    </w:rPr>
                    <w:t>上风向一个点，下风向三个点</w:t>
                  </w:r>
                </w:p>
              </w:tc>
              <w:tc>
                <w:tcPr>
                  <w:tcW w:w="1249" w:type="pct"/>
                  <w:vMerge w:val="restart"/>
                  <w:noWrap w:val="0"/>
                  <w:vAlign w:val="center"/>
                </w:tcPr>
                <w:p>
                  <w:pPr>
                    <w:pStyle w:val="32"/>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napToGrid w:val="0"/>
                      <w:color w:val="000000"/>
                      <w:kern w:val="0"/>
                      <w:sz w:val="21"/>
                      <w:szCs w:val="21"/>
                    </w:rPr>
                    <w:t>氮氧化物</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非甲烷总烃</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甲醛</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硫酸雾</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四氯乙烯</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氯化氢</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三氯甲烷</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氯气</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二硫化碳</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氨</w:t>
                  </w:r>
                </w:p>
              </w:tc>
              <w:tc>
                <w:tcPr>
                  <w:tcW w:w="1251" w:type="pc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每天3次，连续2天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249" w:type="pct"/>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rPr>
                  </w:pPr>
                </w:p>
              </w:tc>
              <w:tc>
                <w:tcPr>
                  <w:tcW w:w="1249" w:type="pct"/>
                  <w:noWrap w:val="0"/>
                  <w:vAlign w:val="center"/>
                </w:tcPr>
                <w:p>
                  <w:pPr>
                    <w:keepNext w:val="0"/>
                    <w:keepLines w:val="0"/>
                    <w:pageBreakBefore w:val="0"/>
                    <w:tabs>
                      <w:tab w:val="left" w:pos="304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车间外</w:t>
                  </w:r>
                </w:p>
              </w:tc>
              <w:tc>
                <w:tcPr>
                  <w:tcW w:w="1249" w:type="pct"/>
                  <w:vMerge w:val="continue"/>
                  <w:noWrap w:val="0"/>
                  <w:vAlign w:val="center"/>
                </w:tcPr>
                <w:p>
                  <w:pPr>
                    <w:pStyle w:val="32"/>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napToGrid w:val="0"/>
                      <w:color w:val="000000"/>
                      <w:kern w:val="0"/>
                      <w:sz w:val="21"/>
                      <w:szCs w:val="21"/>
                    </w:rPr>
                  </w:pPr>
                </w:p>
              </w:tc>
              <w:tc>
                <w:tcPr>
                  <w:tcW w:w="1251" w:type="pc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sz w:val="21"/>
                      <w:szCs w:val="21"/>
                      <w:lang w:val="en-US" w:eastAsia="zh-CN"/>
                    </w:rPr>
                    <w:t>每天3次，共2天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9"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有组织废气</w:t>
                  </w:r>
                </w:p>
              </w:tc>
              <w:tc>
                <w:tcPr>
                  <w:tcW w:w="1249"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DA001排气筒</w:t>
                  </w:r>
                </w:p>
              </w:tc>
              <w:tc>
                <w:tcPr>
                  <w:tcW w:w="1249"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napToGrid w:val="0"/>
                      <w:color w:val="000000"/>
                      <w:kern w:val="0"/>
                      <w:sz w:val="21"/>
                      <w:szCs w:val="21"/>
                    </w:rPr>
                    <w:t>氮氧化物</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非甲烷总烃</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甲醛</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硫酸雾</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四氯乙烯</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氯化氢</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三氯甲烷</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氯气</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二硫化碳</w:t>
                  </w:r>
                  <w:r>
                    <w:rPr>
                      <w:rFonts w:hint="default" w:ascii="Times New Roman" w:hAnsi="Times New Roman" w:eastAsia="宋体" w:cs="Times New Roman"/>
                      <w:snapToGrid w:val="0"/>
                      <w:color w:val="000000"/>
                      <w:kern w:val="0"/>
                      <w:sz w:val="21"/>
                      <w:szCs w:val="21"/>
                      <w:lang w:eastAsia="zh-CN"/>
                    </w:rPr>
                    <w:t>、</w:t>
                  </w:r>
                  <w:r>
                    <w:rPr>
                      <w:rFonts w:hint="default" w:ascii="Times New Roman" w:hAnsi="Times New Roman" w:eastAsia="宋体" w:cs="Times New Roman"/>
                      <w:snapToGrid w:val="0"/>
                      <w:color w:val="000000"/>
                      <w:kern w:val="0"/>
                      <w:sz w:val="21"/>
                      <w:szCs w:val="21"/>
                    </w:rPr>
                    <w:t>氨</w:t>
                  </w:r>
                </w:p>
              </w:tc>
              <w:tc>
                <w:tcPr>
                  <w:tcW w:w="1251"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每天3次，共2天</w:t>
                  </w:r>
                </w:p>
              </w:tc>
            </w:tr>
          </w:tbl>
          <w:p>
            <w:pPr>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2、废水监测内容</w:t>
            </w:r>
          </w:p>
          <w:p>
            <w:pPr>
              <w:snapToGrid w:val="0"/>
              <w:spacing w:line="240" w:lineRule="auto"/>
              <w:jc w:val="center"/>
              <w:rPr>
                <w:rFonts w:hint="default" w:ascii="Times New Roman" w:hAnsi="Times New Roman" w:eastAsia="宋体" w:cs="Times New Roman"/>
              </w:rPr>
            </w:pPr>
            <w:r>
              <w:rPr>
                <w:rFonts w:hint="default" w:ascii="Times New Roman" w:hAnsi="Times New Roman" w:eastAsia="宋体" w:cs="Times New Roman"/>
                <w:b/>
                <w:bCs/>
              </w:rPr>
              <w:t>表</w:t>
            </w:r>
            <w:r>
              <w:rPr>
                <w:rFonts w:hint="default" w:ascii="Times New Roman" w:hAnsi="Times New Roman" w:eastAsia="宋体" w:cs="Times New Roman"/>
                <w:b/>
                <w:bCs/>
                <w:lang w:val="en-US" w:eastAsia="zh-CN"/>
              </w:rPr>
              <w:t>6-2</w:t>
            </w:r>
            <w:r>
              <w:rPr>
                <w:rFonts w:hint="default" w:ascii="Times New Roman" w:hAnsi="Times New Roman" w:eastAsia="宋体" w:cs="Times New Roman"/>
                <w:b/>
                <w:bCs/>
              </w:rPr>
              <w:t xml:space="preserve">  废水监测点位、项目和频次</w:t>
            </w:r>
          </w:p>
          <w:tbl>
            <w:tblPr>
              <w:tblStyle w:val="2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51" w:type="dxa"/>
                <w:bottom w:w="0" w:type="dxa"/>
                <w:right w:w="51" w:type="dxa"/>
              </w:tblCellMar>
            </w:tblPr>
            <w:tblGrid>
              <w:gridCol w:w="2075"/>
              <w:gridCol w:w="2075"/>
              <w:gridCol w:w="2075"/>
              <w:gridCol w:w="207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1249" w:type="pct"/>
                  <w:noWrap w:val="0"/>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污染种类</w:t>
                  </w:r>
                </w:p>
              </w:tc>
              <w:tc>
                <w:tcPr>
                  <w:tcW w:w="1249" w:type="pct"/>
                  <w:noWrap w:val="0"/>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测点位置</w:t>
                  </w:r>
                </w:p>
              </w:tc>
              <w:tc>
                <w:tcPr>
                  <w:tcW w:w="1249" w:type="pct"/>
                  <w:noWrap w:val="0"/>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监测项目</w:t>
                  </w:r>
                </w:p>
              </w:tc>
              <w:tc>
                <w:tcPr>
                  <w:tcW w:w="1250" w:type="pct"/>
                  <w:noWrap w:val="0"/>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40" w:hRule="atLeast"/>
                <w:jc w:val="center"/>
              </w:trPr>
              <w:tc>
                <w:tcPr>
                  <w:tcW w:w="1249" w:type="pct"/>
                  <w:noWrap w:val="0"/>
                  <w:vAlign w:val="center"/>
                </w:tcPr>
                <w:p>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废水</w:t>
                  </w:r>
                </w:p>
              </w:tc>
              <w:tc>
                <w:tcPr>
                  <w:tcW w:w="1249" w:type="pct"/>
                  <w:noWrap w:val="0"/>
                  <w:vAlign w:val="center"/>
                </w:tcPr>
                <w:p>
                  <w:pPr>
                    <w:adjustRightInd w:val="0"/>
                    <w:snapToGrid w:val="0"/>
                    <w:spacing w:line="400" w:lineRule="exact"/>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DW001污水排口</w:t>
                  </w:r>
                </w:p>
              </w:tc>
              <w:tc>
                <w:tcPr>
                  <w:tcW w:w="1249" w:type="pct"/>
                  <w:noWrap w:val="0"/>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pH、COD、SS、甲醛、三氯甲烷、总氰化物、挥发酚、四氯乙烯、氨氮、总氮、总磷（以P计）、石油类</w:t>
                  </w:r>
                </w:p>
              </w:tc>
              <w:tc>
                <w:tcPr>
                  <w:tcW w:w="1250" w:type="pct"/>
                  <w:noWrap w:val="0"/>
                  <w:vAlign w:val="center"/>
                </w:tcPr>
                <w:p>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连续2天，每天</w:t>
                  </w:r>
                  <w:r>
                    <w:rPr>
                      <w:rFonts w:hint="default" w:ascii="Times New Roman" w:hAnsi="Times New Roman" w:eastAsia="宋体" w:cs="Times New Roman"/>
                      <w:color w:val="000000"/>
                      <w:sz w:val="21"/>
                      <w:szCs w:val="21"/>
                      <w:lang w:val="en-US" w:eastAsia="zh-CN"/>
                    </w:rPr>
                    <w:t>4</w:t>
                  </w:r>
                  <w:r>
                    <w:rPr>
                      <w:rFonts w:hint="default" w:ascii="Times New Roman" w:hAnsi="Times New Roman" w:eastAsia="宋体" w:cs="Times New Roman"/>
                      <w:color w:val="000000"/>
                      <w:sz w:val="21"/>
                      <w:szCs w:val="21"/>
                    </w:rPr>
                    <w:t>次</w:t>
                  </w:r>
                </w:p>
              </w:tc>
            </w:tr>
          </w:tbl>
          <w:p>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噪声监测内容</w:t>
            </w:r>
          </w:p>
          <w:p>
            <w:pPr>
              <w:snapToGrid w:val="0"/>
              <w:spacing w:line="240" w:lineRule="auto"/>
              <w:jc w:val="center"/>
              <w:rPr>
                <w:rFonts w:hint="default" w:ascii="Times New Roman" w:hAnsi="Times New Roman" w:eastAsia="宋体" w:cs="Times New Roman"/>
              </w:rPr>
            </w:pPr>
            <w:r>
              <w:rPr>
                <w:rFonts w:hint="default" w:ascii="Times New Roman" w:hAnsi="Times New Roman" w:eastAsia="宋体" w:cs="Times New Roman"/>
                <w:b/>
                <w:bCs/>
              </w:rPr>
              <w:t>表6-</w:t>
            </w:r>
            <w:r>
              <w:rPr>
                <w:rFonts w:hint="default" w:ascii="Times New Roman" w:hAnsi="Times New Roman" w:eastAsia="宋体" w:cs="Times New Roman"/>
                <w:b/>
                <w:bCs/>
                <w:lang w:val="en-US" w:eastAsia="zh-CN"/>
              </w:rPr>
              <w:t>3</w:t>
            </w:r>
            <w:r>
              <w:rPr>
                <w:rFonts w:hint="default" w:ascii="Times New Roman" w:hAnsi="Times New Roman" w:eastAsia="宋体" w:cs="Times New Roman"/>
                <w:b/>
                <w:bCs/>
              </w:rPr>
              <w:t xml:space="preserve"> </w:t>
            </w:r>
            <w:r>
              <w:rPr>
                <w:rFonts w:hint="default" w:ascii="Times New Roman" w:hAnsi="Times New Roman" w:eastAsia="宋体" w:cs="Times New Roman"/>
                <w:b/>
                <w:bCs/>
                <w:lang w:val="en-US" w:eastAsia="zh-CN"/>
              </w:rPr>
              <w:t xml:space="preserve"> </w:t>
            </w:r>
            <w:r>
              <w:rPr>
                <w:rFonts w:hint="default" w:ascii="Times New Roman" w:hAnsi="Times New Roman" w:eastAsia="宋体" w:cs="Times New Roman"/>
                <w:b/>
                <w:bCs/>
              </w:rPr>
              <w:t>噪声监测内容及监测频次</w:t>
            </w:r>
          </w:p>
          <w:tbl>
            <w:tblPr>
              <w:tblStyle w:val="2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2746"/>
              <w:gridCol w:w="1410"/>
              <w:gridCol w:w="284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34" w:hRule="atLeast"/>
                <w:jc w:val="center"/>
              </w:trPr>
              <w:tc>
                <w:tcPr>
                  <w:tcW w:w="783" w:type="pct"/>
                  <w:noWrap w:val="0"/>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污染种类</w:t>
                  </w:r>
                </w:p>
              </w:tc>
              <w:tc>
                <w:tcPr>
                  <w:tcW w:w="1653" w:type="pct"/>
                  <w:noWrap w:val="0"/>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测点位置</w:t>
                  </w:r>
                </w:p>
              </w:tc>
              <w:tc>
                <w:tcPr>
                  <w:tcW w:w="849" w:type="pct"/>
                  <w:noWrap w:val="0"/>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监测项目</w:t>
                  </w:r>
                </w:p>
              </w:tc>
              <w:tc>
                <w:tcPr>
                  <w:tcW w:w="1713" w:type="pct"/>
                  <w:noWrap w:val="0"/>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监测频次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83" w:type="pct"/>
                  <w:vMerge w:val="restart"/>
                  <w:noWrap w:val="0"/>
                  <w:vAlign w:val="center"/>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厂界噪声</w:t>
                  </w:r>
                </w:p>
              </w:tc>
              <w:tc>
                <w:tcPr>
                  <w:tcW w:w="1653" w:type="pct"/>
                  <w:noWrap w:val="0"/>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Z</w:t>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东厂界</w:t>
                  </w:r>
                  <w:r>
                    <w:rPr>
                      <w:rFonts w:hint="default" w:ascii="Times New Roman" w:hAnsi="Times New Roman" w:eastAsia="宋体" w:cs="Times New Roman"/>
                      <w:sz w:val="21"/>
                      <w:szCs w:val="21"/>
                      <w:lang w:eastAsia="zh-CN"/>
                    </w:rPr>
                    <w:t>）</w:t>
                  </w:r>
                </w:p>
              </w:tc>
              <w:tc>
                <w:tcPr>
                  <w:tcW w:w="849" w:type="pct"/>
                  <w:vMerge w:val="restart"/>
                  <w:noWrap w:val="0"/>
                  <w:vAlign w:val="center"/>
                </w:tcPr>
                <w:p>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等效连续（A）声级</w:t>
                  </w:r>
                </w:p>
              </w:tc>
              <w:tc>
                <w:tcPr>
                  <w:tcW w:w="1713" w:type="pct"/>
                  <w:vMerge w:val="restart"/>
                  <w:noWrap w:val="0"/>
                  <w:vAlign w:val="center"/>
                </w:tcPr>
                <w:p>
                  <w:pPr>
                    <w:spacing w:line="300" w:lineRule="exact"/>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昼</w:t>
                  </w:r>
                  <w:r>
                    <w:rPr>
                      <w:rFonts w:hint="default" w:ascii="Times New Roman" w:hAnsi="Times New Roman" w:eastAsia="宋体" w:cs="Times New Roman"/>
                      <w:sz w:val="21"/>
                      <w:szCs w:val="21"/>
                      <w:lang w:val="en-US" w:eastAsia="zh-CN"/>
                    </w:rPr>
                    <w:t>间</w:t>
                  </w:r>
                  <w:r>
                    <w:rPr>
                      <w:rFonts w:hint="default" w:ascii="Times New Roman" w:hAnsi="Times New Roman" w:eastAsia="宋体" w:cs="Times New Roman"/>
                      <w:sz w:val="21"/>
                      <w:szCs w:val="21"/>
                    </w:rPr>
                    <w:t>1次，</w:t>
                  </w:r>
                  <w:r>
                    <w:rPr>
                      <w:rFonts w:hint="default" w:ascii="Times New Roman" w:hAnsi="Times New Roman" w:eastAsia="宋体" w:cs="Times New Roman"/>
                      <w:sz w:val="21"/>
                      <w:szCs w:val="21"/>
                      <w:lang w:val="en-US" w:eastAsia="zh-CN"/>
                    </w:rPr>
                    <w:t>连续2</w:t>
                  </w:r>
                  <w:r>
                    <w:rPr>
                      <w:rFonts w:hint="default" w:ascii="Times New Roman" w:hAnsi="Times New Roman" w:eastAsia="宋体" w:cs="Times New Roman"/>
                      <w:sz w:val="21"/>
                      <w:szCs w:val="21"/>
                    </w:rPr>
                    <w:t>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83" w:type="pct"/>
                  <w:vMerge w:val="continue"/>
                  <w:noWrap w:val="0"/>
                  <w:vAlign w:val="center"/>
                </w:tcPr>
                <w:p>
                  <w:pPr>
                    <w:jc w:val="center"/>
                    <w:rPr>
                      <w:rFonts w:hint="default" w:ascii="Times New Roman" w:hAnsi="Times New Roman" w:eastAsia="宋体" w:cs="Times New Roman"/>
                      <w:sz w:val="21"/>
                      <w:szCs w:val="21"/>
                    </w:rPr>
                  </w:pPr>
                </w:p>
              </w:tc>
              <w:tc>
                <w:tcPr>
                  <w:tcW w:w="1653" w:type="pct"/>
                  <w:noWrap w:val="0"/>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Z2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南厂界</w:t>
                  </w:r>
                  <w:r>
                    <w:rPr>
                      <w:rFonts w:hint="default" w:ascii="Times New Roman" w:hAnsi="Times New Roman" w:eastAsia="宋体" w:cs="Times New Roman"/>
                      <w:sz w:val="21"/>
                      <w:szCs w:val="21"/>
                      <w:lang w:eastAsia="zh-CN"/>
                    </w:rPr>
                    <w:t>）</w:t>
                  </w:r>
                </w:p>
              </w:tc>
              <w:tc>
                <w:tcPr>
                  <w:tcW w:w="849" w:type="pct"/>
                  <w:vMerge w:val="continue"/>
                  <w:noWrap w:val="0"/>
                  <w:vAlign w:val="center"/>
                </w:tcPr>
                <w:p>
                  <w:pPr>
                    <w:spacing w:line="300" w:lineRule="exact"/>
                    <w:jc w:val="center"/>
                    <w:rPr>
                      <w:rFonts w:hint="default" w:ascii="Times New Roman" w:hAnsi="Times New Roman" w:eastAsia="宋体" w:cs="Times New Roman"/>
                      <w:sz w:val="21"/>
                      <w:szCs w:val="21"/>
                    </w:rPr>
                  </w:pPr>
                </w:p>
              </w:tc>
              <w:tc>
                <w:tcPr>
                  <w:tcW w:w="1713" w:type="pct"/>
                  <w:vMerge w:val="continue"/>
                  <w:noWrap w:val="0"/>
                  <w:vAlign w:val="center"/>
                </w:tcPr>
                <w:p>
                  <w:pPr>
                    <w:spacing w:line="300" w:lineRule="exact"/>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783" w:type="pct"/>
                  <w:vMerge w:val="continue"/>
                  <w:noWrap w:val="0"/>
                  <w:vAlign w:val="center"/>
                </w:tcPr>
                <w:p>
                  <w:pPr>
                    <w:jc w:val="center"/>
                    <w:rPr>
                      <w:rFonts w:hint="default" w:ascii="Times New Roman" w:hAnsi="Times New Roman" w:eastAsia="宋体" w:cs="Times New Roman"/>
                      <w:sz w:val="21"/>
                      <w:szCs w:val="21"/>
                    </w:rPr>
                  </w:pPr>
                </w:p>
              </w:tc>
              <w:tc>
                <w:tcPr>
                  <w:tcW w:w="1653" w:type="pct"/>
                  <w:noWrap w:val="0"/>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Z3</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西厂界</w:t>
                  </w:r>
                  <w:r>
                    <w:rPr>
                      <w:rFonts w:hint="default" w:ascii="Times New Roman" w:hAnsi="Times New Roman" w:eastAsia="宋体" w:cs="Times New Roman"/>
                      <w:sz w:val="21"/>
                      <w:szCs w:val="21"/>
                      <w:lang w:eastAsia="zh-CN"/>
                    </w:rPr>
                    <w:t>）</w:t>
                  </w:r>
                </w:p>
              </w:tc>
              <w:tc>
                <w:tcPr>
                  <w:tcW w:w="849" w:type="pct"/>
                  <w:vMerge w:val="continue"/>
                  <w:noWrap w:val="0"/>
                  <w:vAlign w:val="center"/>
                </w:tcPr>
                <w:p>
                  <w:pPr>
                    <w:spacing w:line="300" w:lineRule="exact"/>
                    <w:jc w:val="center"/>
                    <w:rPr>
                      <w:rFonts w:hint="default" w:ascii="Times New Roman" w:hAnsi="Times New Roman" w:eastAsia="宋体" w:cs="Times New Roman"/>
                      <w:sz w:val="21"/>
                      <w:szCs w:val="21"/>
                    </w:rPr>
                  </w:pPr>
                </w:p>
              </w:tc>
              <w:tc>
                <w:tcPr>
                  <w:tcW w:w="1713" w:type="pct"/>
                  <w:vMerge w:val="continue"/>
                  <w:noWrap w:val="0"/>
                  <w:vAlign w:val="center"/>
                </w:tcPr>
                <w:p>
                  <w:pPr>
                    <w:spacing w:line="300" w:lineRule="exact"/>
                    <w:jc w:val="center"/>
                    <w:rPr>
                      <w:rFonts w:hint="default" w:ascii="Times New Roman" w:hAnsi="Times New Roman" w:eastAsia="宋体"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783" w:type="pct"/>
                  <w:vMerge w:val="continue"/>
                  <w:noWrap w:val="0"/>
                  <w:vAlign w:val="center"/>
                </w:tcPr>
                <w:p>
                  <w:pPr>
                    <w:jc w:val="center"/>
                    <w:rPr>
                      <w:rFonts w:hint="default" w:ascii="Times New Roman" w:hAnsi="Times New Roman" w:eastAsia="宋体" w:cs="Times New Roman"/>
                      <w:sz w:val="21"/>
                      <w:szCs w:val="21"/>
                    </w:rPr>
                  </w:pPr>
                </w:p>
              </w:tc>
              <w:tc>
                <w:tcPr>
                  <w:tcW w:w="1653" w:type="pct"/>
                  <w:noWrap w:val="0"/>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Z4</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北厂界</w:t>
                  </w:r>
                  <w:r>
                    <w:rPr>
                      <w:rFonts w:hint="default" w:ascii="Times New Roman" w:hAnsi="Times New Roman" w:eastAsia="宋体" w:cs="Times New Roman"/>
                      <w:sz w:val="21"/>
                      <w:szCs w:val="21"/>
                      <w:lang w:eastAsia="zh-CN"/>
                    </w:rPr>
                    <w:t>）</w:t>
                  </w:r>
                </w:p>
              </w:tc>
              <w:tc>
                <w:tcPr>
                  <w:tcW w:w="849" w:type="pct"/>
                  <w:vMerge w:val="continue"/>
                  <w:noWrap w:val="0"/>
                  <w:vAlign w:val="center"/>
                </w:tcPr>
                <w:p>
                  <w:pPr>
                    <w:spacing w:line="300" w:lineRule="exact"/>
                    <w:jc w:val="center"/>
                    <w:rPr>
                      <w:rFonts w:hint="default" w:ascii="Times New Roman" w:hAnsi="Times New Roman" w:eastAsia="宋体" w:cs="Times New Roman"/>
                      <w:sz w:val="21"/>
                      <w:szCs w:val="21"/>
                    </w:rPr>
                  </w:pPr>
                </w:p>
              </w:tc>
              <w:tc>
                <w:tcPr>
                  <w:tcW w:w="1713" w:type="pct"/>
                  <w:vMerge w:val="continue"/>
                  <w:noWrap w:val="0"/>
                  <w:vAlign w:val="center"/>
                </w:tcPr>
                <w:p>
                  <w:pPr>
                    <w:spacing w:line="300" w:lineRule="exact"/>
                    <w:jc w:val="center"/>
                    <w:rPr>
                      <w:rFonts w:hint="default" w:ascii="Times New Roman" w:hAnsi="Times New Roman" w:eastAsia="宋体" w:cs="Times New Roman"/>
                      <w:sz w:val="21"/>
                      <w:szCs w:val="21"/>
                    </w:rPr>
                  </w:pPr>
                </w:p>
              </w:tc>
            </w:tr>
          </w:tbl>
          <w:p>
            <w:pPr>
              <w:pStyle w:val="33"/>
              <w:spacing w:line="360" w:lineRule="auto"/>
              <w:ind w:left="0" w:leftChars="0" w:firstLine="0" w:firstLineChars="0"/>
              <w:jc w:val="both"/>
              <w:rPr>
                <w:rFonts w:hint="eastAsia" w:ascii="Times New Roman" w:hAnsi="Times New Roman" w:eastAsia="宋体" w:cs="Times New Roman"/>
                <w:lang w:eastAsia="zh-CN"/>
              </w:rPr>
            </w:pPr>
            <w:r>
              <w:rPr>
                <w:rFonts w:hint="eastAsia" w:ascii="Times New Roman" w:hAnsi="Times New Roman" w:eastAsia="宋体" w:cs="Times New Roman"/>
                <w:lang w:eastAsia="zh-CN"/>
              </w:rPr>
              <w:drawing>
                <wp:inline distT="0" distB="0" distL="114300" distR="114300">
                  <wp:extent cx="5266690" cy="2962910"/>
                  <wp:effectExtent l="0" t="0" r="10160" b="8890"/>
                  <wp:docPr id="30" name="图片 30" descr="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12.18"/>
                          <pic:cNvPicPr>
                            <a:picLocks noChangeAspect="1"/>
                          </pic:cNvPicPr>
                        </pic:nvPicPr>
                        <pic:blipFill>
                          <a:blip r:embed="rId22"/>
                          <a:stretch>
                            <a:fillRect/>
                          </a:stretch>
                        </pic:blipFill>
                        <pic:spPr>
                          <a:xfrm>
                            <a:off x="0" y="0"/>
                            <a:ext cx="5266690" cy="2962910"/>
                          </a:xfrm>
                          <a:prstGeom prst="rect">
                            <a:avLst/>
                          </a:prstGeom>
                        </pic:spPr>
                      </pic:pic>
                    </a:graphicData>
                  </a:graphic>
                </wp:inline>
              </w:drawing>
            </w:r>
            <w:r>
              <w:rPr>
                <w:rFonts w:hint="eastAsia" w:ascii="Times New Roman" w:hAnsi="Times New Roman" w:eastAsia="宋体" w:cs="Times New Roman"/>
                <w:lang w:eastAsia="zh-CN"/>
              </w:rPr>
              <w:drawing>
                <wp:inline distT="0" distB="0" distL="114300" distR="114300">
                  <wp:extent cx="5266690" cy="2962910"/>
                  <wp:effectExtent l="0" t="0" r="10160" b="8890"/>
                  <wp:docPr id="29" name="图片 29" descr="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12.19"/>
                          <pic:cNvPicPr>
                            <a:picLocks noChangeAspect="1"/>
                          </pic:cNvPicPr>
                        </pic:nvPicPr>
                        <pic:blipFill>
                          <a:blip r:embed="rId23"/>
                          <a:stretch>
                            <a:fillRect/>
                          </a:stretch>
                        </pic:blipFill>
                        <pic:spPr>
                          <a:xfrm>
                            <a:off x="0" y="0"/>
                            <a:ext cx="5266690" cy="2962910"/>
                          </a:xfrm>
                          <a:prstGeom prst="rect">
                            <a:avLst/>
                          </a:prstGeom>
                        </pic:spPr>
                      </pic:pic>
                    </a:graphicData>
                  </a:graphic>
                </wp:inline>
              </w:drawing>
            </w:r>
          </w:p>
          <w:p>
            <w:pPr>
              <w:pStyle w:val="2"/>
              <w:jc w:val="center"/>
              <w:rPr>
                <w:rFonts w:hint="default" w:ascii="Times New Roman" w:hAnsi="Times New Roman" w:cs="Times New Roman"/>
                <w:lang w:val="en-US" w:eastAsia="zh-CN"/>
              </w:rPr>
            </w:pPr>
            <w:r>
              <w:rPr>
                <w:rFonts w:hint="default" w:ascii="Times New Roman" w:hAnsi="Times New Roman" w:eastAsia="宋体" w:cs="Times New Roman"/>
                <w:b/>
                <w:bCs/>
                <w:color w:val="auto"/>
                <w:kern w:val="2"/>
                <w:sz w:val="21"/>
                <w:szCs w:val="24"/>
                <w:lang w:val="en-US" w:eastAsia="zh-CN" w:bidi="ar-SA"/>
              </w:rPr>
              <w:t xml:space="preserve">图6-1  </w:t>
            </w:r>
            <w:r>
              <w:rPr>
                <w:rFonts w:hint="default" w:ascii="Times New Roman" w:hAnsi="Times New Roman" w:eastAsia="宋体" w:cs="Times New Roman"/>
                <w:b/>
                <w:bCs/>
                <w:color w:val="auto"/>
                <w:kern w:val="2"/>
                <w:sz w:val="21"/>
                <w:szCs w:val="24"/>
                <w:highlight w:val="none"/>
                <w:lang w:val="en-US" w:eastAsia="zh-CN" w:bidi="ar-SA"/>
              </w:rPr>
              <w:t>监测点位</w:t>
            </w:r>
            <w:r>
              <w:rPr>
                <w:rFonts w:hint="default" w:ascii="Times New Roman" w:hAnsi="Times New Roman" w:eastAsia="宋体" w:cs="Times New Roman"/>
                <w:b/>
                <w:bCs/>
                <w:color w:val="auto"/>
                <w:kern w:val="2"/>
                <w:sz w:val="21"/>
                <w:szCs w:val="24"/>
                <w:lang w:val="en-US" w:eastAsia="zh-CN" w:bidi="ar-SA"/>
              </w:rPr>
              <w:t>示意图</w:t>
            </w:r>
          </w:p>
        </w:tc>
      </w:tr>
    </w:tbl>
    <w:p>
      <w:pPr>
        <w:rPr>
          <w:rFonts w:hint="default"/>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bidi w:val="0"/>
        <w:rPr>
          <w:rFonts w:hint="eastAsia" w:ascii="宋体" w:hAnsi="宋体" w:eastAsia="宋体" w:cs="宋体"/>
          <w:sz w:val="32"/>
          <w:szCs w:val="20"/>
          <w:lang w:val="en-US" w:eastAsia="zh-CN"/>
        </w:rPr>
      </w:pPr>
      <w:bookmarkStart w:id="105" w:name="_Toc18503"/>
      <w:r>
        <w:rPr>
          <w:rFonts w:hint="eastAsia" w:ascii="宋体" w:hAnsi="宋体" w:eastAsia="宋体" w:cs="宋体"/>
          <w:sz w:val="32"/>
          <w:szCs w:val="20"/>
          <w:lang w:val="en-US" w:eastAsia="zh-CN"/>
        </w:rPr>
        <w:t>表七</w:t>
      </w:r>
      <w:bookmarkEnd w:id="105"/>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ascii="Times New Roman" w:hAnsi="Times New Roman" w:eastAsia="宋体" w:cs="Times New Roman"/>
                <w:b/>
                <w:bCs/>
                <w:sz w:val="24"/>
                <w:szCs w:val="32"/>
                <w:vertAlign w:val="baseline"/>
                <w:lang w:val="en-US" w:eastAsia="zh-CN"/>
              </w:rPr>
            </w:pPr>
            <w:r>
              <w:rPr>
                <w:rFonts w:hint="default" w:ascii="Times New Roman" w:hAnsi="Times New Roman" w:eastAsia="宋体" w:cs="Times New Roman"/>
                <w:b/>
                <w:bCs/>
                <w:sz w:val="24"/>
                <w:szCs w:val="32"/>
                <w:vertAlign w:val="baseline"/>
                <w:lang w:val="en-US" w:eastAsia="zh-CN"/>
              </w:rPr>
              <w:t>验收监测期间生产工况记录：</w:t>
            </w:r>
          </w:p>
          <w:p>
            <w:pPr>
              <w:pStyle w:val="33"/>
              <w:spacing w:line="360" w:lineRule="auto"/>
              <w:rPr>
                <w:rFonts w:hint="default" w:ascii="Times New Roman" w:hAnsi="Times New Roman" w:eastAsia="宋体" w:cs="Times New Roman"/>
              </w:rPr>
            </w:pPr>
            <w:r>
              <w:rPr>
                <w:rFonts w:hint="default" w:ascii="Times New Roman" w:hAnsi="Times New Roman" w:eastAsia="宋体" w:cs="Times New Roman"/>
                <w:kern w:val="2"/>
                <w:sz w:val="24"/>
                <w:szCs w:val="20"/>
                <w:lang w:val="en-US" w:eastAsia="zh-CN" w:bidi="ar-SA"/>
              </w:rPr>
              <w:t>江苏标普检测科技有限公司于</w:t>
            </w:r>
            <w:r>
              <w:rPr>
                <w:rFonts w:hint="eastAsia" w:ascii="Times New Roman" w:hAnsi="Times New Roman" w:eastAsia="宋体" w:cs="Times New Roman"/>
                <w:kern w:val="2"/>
                <w:sz w:val="24"/>
                <w:szCs w:val="20"/>
                <w:lang w:val="en-US" w:eastAsia="zh-CN" w:bidi="ar-SA"/>
              </w:rPr>
              <w:t>2023</w:t>
            </w:r>
            <w:r>
              <w:rPr>
                <w:rFonts w:hint="default" w:ascii="Times New Roman" w:hAnsi="Times New Roman" w:eastAsia="宋体" w:cs="Times New Roman"/>
                <w:kern w:val="2"/>
                <w:sz w:val="24"/>
                <w:szCs w:val="20"/>
                <w:lang w:val="en-US" w:eastAsia="zh-CN" w:bidi="ar-SA"/>
              </w:rPr>
              <w:t>年</w:t>
            </w:r>
            <w:r>
              <w:rPr>
                <w:rFonts w:hint="eastAsia" w:ascii="Times New Roman" w:hAnsi="Times New Roman" w:eastAsia="宋体" w:cs="Times New Roman"/>
                <w:kern w:val="2"/>
                <w:sz w:val="24"/>
                <w:szCs w:val="20"/>
                <w:lang w:val="en-US" w:eastAsia="zh-CN" w:bidi="ar-SA"/>
              </w:rPr>
              <w:t>12</w:t>
            </w:r>
            <w:r>
              <w:rPr>
                <w:rFonts w:hint="default" w:ascii="Times New Roman" w:hAnsi="Times New Roman" w:eastAsia="宋体" w:cs="Times New Roman"/>
                <w:kern w:val="2"/>
                <w:sz w:val="24"/>
                <w:szCs w:val="20"/>
                <w:lang w:val="en-US" w:eastAsia="zh-CN" w:bidi="ar-SA"/>
              </w:rPr>
              <w:t>月</w:t>
            </w:r>
            <w:r>
              <w:rPr>
                <w:rFonts w:hint="eastAsia" w:ascii="Times New Roman" w:hAnsi="Times New Roman" w:eastAsia="宋体" w:cs="Times New Roman"/>
                <w:kern w:val="2"/>
                <w:sz w:val="24"/>
                <w:szCs w:val="20"/>
                <w:lang w:val="en-US" w:eastAsia="zh-CN" w:bidi="ar-SA"/>
              </w:rPr>
              <w:t>18</w:t>
            </w:r>
            <w:r>
              <w:rPr>
                <w:rFonts w:hint="default" w:ascii="Times New Roman" w:hAnsi="Times New Roman" w:eastAsia="宋体" w:cs="Times New Roman"/>
                <w:kern w:val="2"/>
                <w:sz w:val="24"/>
                <w:szCs w:val="20"/>
                <w:lang w:val="en-US" w:eastAsia="zh-CN" w:bidi="ar-SA"/>
              </w:rPr>
              <w:t>日~</w:t>
            </w:r>
            <w:r>
              <w:rPr>
                <w:rFonts w:hint="eastAsia" w:ascii="Times New Roman" w:hAnsi="Times New Roman" w:eastAsia="宋体" w:cs="Times New Roman"/>
                <w:kern w:val="2"/>
                <w:sz w:val="24"/>
                <w:szCs w:val="20"/>
                <w:lang w:val="en-US" w:eastAsia="zh-CN" w:bidi="ar-SA"/>
              </w:rPr>
              <w:t>2023</w:t>
            </w:r>
            <w:r>
              <w:rPr>
                <w:rFonts w:hint="default" w:ascii="Times New Roman" w:hAnsi="Times New Roman" w:eastAsia="宋体" w:cs="Times New Roman"/>
                <w:kern w:val="2"/>
                <w:sz w:val="24"/>
                <w:szCs w:val="20"/>
                <w:lang w:val="en-US" w:eastAsia="zh-CN" w:bidi="ar-SA"/>
              </w:rPr>
              <w:t>年</w:t>
            </w:r>
            <w:r>
              <w:rPr>
                <w:rFonts w:hint="eastAsia" w:ascii="Times New Roman" w:hAnsi="Times New Roman" w:eastAsia="宋体" w:cs="Times New Roman"/>
                <w:kern w:val="2"/>
                <w:sz w:val="24"/>
                <w:szCs w:val="20"/>
                <w:lang w:val="en-US" w:eastAsia="zh-CN" w:bidi="ar-SA"/>
              </w:rPr>
              <w:t>12</w:t>
            </w:r>
            <w:r>
              <w:rPr>
                <w:rFonts w:hint="default" w:ascii="Times New Roman" w:hAnsi="Times New Roman" w:eastAsia="宋体" w:cs="Times New Roman"/>
                <w:kern w:val="2"/>
                <w:sz w:val="24"/>
                <w:szCs w:val="20"/>
                <w:lang w:val="en-US" w:eastAsia="zh-CN" w:bidi="ar-SA"/>
              </w:rPr>
              <w:t>月</w:t>
            </w:r>
            <w:r>
              <w:rPr>
                <w:rFonts w:hint="eastAsia" w:ascii="Times New Roman" w:hAnsi="Times New Roman" w:eastAsia="宋体" w:cs="Times New Roman"/>
                <w:kern w:val="2"/>
                <w:sz w:val="24"/>
                <w:szCs w:val="20"/>
                <w:lang w:val="en-US" w:eastAsia="zh-CN" w:bidi="ar-SA"/>
              </w:rPr>
              <w:t>19</w:t>
            </w:r>
            <w:r>
              <w:rPr>
                <w:rFonts w:hint="default" w:ascii="Times New Roman" w:hAnsi="Times New Roman" w:eastAsia="宋体" w:cs="Times New Roman"/>
                <w:kern w:val="2"/>
                <w:sz w:val="24"/>
                <w:szCs w:val="20"/>
                <w:lang w:val="en-US" w:eastAsia="zh-CN" w:bidi="ar-SA"/>
              </w:rPr>
              <w:t>日对江苏标普检测科技有限公司新建实验室项目进行验收监测工</w:t>
            </w:r>
            <w:r>
              <w:rPr>
                <w:rFonts w:hint="default" w:ascii="Times New Roman" w:hAnsi="Times New Roman" w:eastAsia="宋体" w:cs="Times New Roman"/>
              </w:rPr>
              <w:t>作。验收监测期间生产运行基本稳定，各产品产量符合验收监测工况要求。验收监测期间，该项目满足环境保护设施竣工验收监测工况见表7-1。</w:t>
            </w:r>
          </w:p>
          <w:p>
            <w:pPr>
              <w:pStyle w:val="2"/>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cs="Times New Roman"/>
                <w:b/>
                <w:bCs/>
                <w:sz w:val="21"/>
                <w:szCs w:val="21"/>
                <w:lang w:val="en-US" w:eastAsia="zh-CN"/>
              </w:rPr>
              <w:t xml:space="preserve">表7-1  </w:t>
            </w:r>
            <w:r>
              <w:rPr>
                <w:rFonts w:hint="default" w:ascii="Times New Roman" w:hAnsi="Times New Roman" w:eastAsia="宋体" w:cs="Times New Roman"/>
                <w:b/>
                <w:bCs/>
                <w:sz w:val="21"/>
                <w:szCs w:val="21"/>
              </w:rPr>
              <w:t>建设项目竣工验收监测期间</w:t>
            </w:r>
            <w:r>
              <w:rPr>
                <w:rFonts w:hint="default" w:ascii="Times New Roman" w:hAnsi="Times New Roman" w:eastAsia="宋体" w:cs="Times New Roman"/>
                <w:b/>
                <w:bCs/>
                <w:sz w:val="21"/>
                <w:szCs w:val="21"/>
                <w:highlight w:val="none"/>
              </w:rPr>
              <w:t>产量核实</w:t>
            </w:r>
          </w:p>
          <w:tbl>
            <w:tblPr>
              <w:tblStyle w:val="20"/>
              <w:tblW w:w="4998" w:type="pct"/>
              <w:jc w:val="center"/>
              <w:tblBorders>
                <w:top w:val="single" w:color="000000" w:sz="12" w:space="0"/>
                <w:left w:val="none" w:color="auto" w:sz="0" w:space="0"/>
                <w:bottom w:val="single" w:color="000000" w:sz="12" w:space="0"/>
                <w:right w:val="none" w:color="auto" w:sz="0" w:space="0"/>
                <w:insideH w:val="single" w:color="000000" w:sz="8" w:space="0"/>
                <w:insideV w:val="single" w:color="000000" w:sz="8" w:space="0"/>
              </w:tblBorders>
              <w:tblLayout w:type="autofit"/>
              <w:tblCellMar>
                <w:top w:w="0" w:type="dxa"/>
                <w:left w:w="0" w:type="dxa"/>
                <w:bottom w:w="0" w:type="dxa"/>
                <w:right w:w="0" w:type="dxa"/>
              </w:tblCellMar>
            </w:tblPr>
            <w:tblGrid>
              <w:gridCol w:w="1505"/>
              <w:gridCol w:w="2532"/>
              <w:gridCol w:w="1678"/>
              <w:gridCol w:w="1289"/>
              <w:gridCol w:w="1299"/>
            </w:tblGrid>
            <w:tr>
              <w:tblPrEx>
                <w:tblBorders>
                  <w:top w:val="single" w:color="000000" w:sz="12" w:space="0"/>
                  <w:left w:val="none" w:color="auto" w:sz="0" w:space="0"/>
                  <w:bottom w:val="single" w:color="000000" w:sz="12" w:space="0"/>
                  <w:right w:val="none" w:color="auto" w:sz="0"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906" w:type="pct"/>
                  <w:noWrap w:val="0"/>
                  <w:vAlign w:val="center"/>
                </w:tcPr>
                <w:p>
                  <w:pPr>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1524" w:type="pct"/>
                  <w:noWrap w:val="0"/>
                  <w:vAlign w:val="center"/>
                </w:tcPr>
                <w:p>
                  <w:pPr>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主要产品</w:t>
                  </w:r>
                </w:p>
              </w:tc>
              <w:tc>
                <w:tcPr>
                  <w:tcW w:w="1010" w:type="pct"/>
                  <w:tcBorders>
                    <w:bottom w:val="single" w:color="auto" w:sz="4" w:space="0"/>
                  </w:tcBorders>
                  <w:noWrap w:val="0"/>
                  <w:vAlign w:val="center"/>
                </w:tcPr>
                <w:p>
                  <w:pPr>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环评设计能力（</w:t>
                  </w:r>
                  <w:r>
                    <w:rPr>
                      <w:rFonts w:hint="eastAsia" w:ascii="Times New Roman" w:hAnsi="Times New Roman" w:eastAsia="宋体" w:cs="Times New Roman"/>
                      <w:b/>
                      <w:bCs/>
                      <w:color w:val="auto"/>
                      <w:sz w:val="21"/>
                      <w:szCs w:val="21"/>
                      <w:lang w:val="en-US" w:eastAsia="zh-CN"/>
                    </w:rPr>
                    <w:t>h</w:t>
                  </w:r>
                  <w:r>
                    <w:rPr>
                      <w:rFonts w:hint="default" w:ascii="Times New Roman" w:hAnsi="Times New Roman" w:eastAsia="宋体" w:cs="Times New Roman"/>
                      <w:b/>
                      <w:bCs/>
                      <w:color w:val="auto"/>
                      <w:sz w:val="21"/>
                      <w:szCs w:val="21"/>
                    </w:rPr>
                    <w:t>/d）</w:t>
                  </w:r>
                </w:p>
              </w:tc>
              <w:tc>
                <w:tcPr>
                  <w:tcW w:w="776" w:type="pct"/>
                  <w:tcBorders>
                    <w:bottom w:val="single" w:color="auto" w:sz="4" w:space="0"/>
                  </w:tcBorders>
                  <w:noWrap w:val="0"/>
                  <w:vAlign w:val="center"/>
                </w:tcPr>
                <w:p>
                  <w:pPr>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实际</w:t>
                  </w:r>
                  <w:r>
                    <w:rPr>
                      <w:rFonts w:hint="default" w:ascii="Times New Roman" w:hAnsi="Times New Roman" w:eastAsia="宋体" w:cs="Times New Roman"/>
                      <w:b/>
                      <w:bCs/>
                      <w:color w:val="auto"/>
                      <w:sz w:val="21"/>
                      <w:szCs w:val="21"/>
                      <w:lang w:eastAsia="zh-CN"/>
                    </w:rPr>
                    <w:t>产量</w:t>
                  </w:r>
                  <w:r>
                    <w:rPr>
                      <w:rFonts w:hint="default" w:ascii="Times New Roman" w:hAnsi="Times New Roman" w:eastAsia="宋体" w:cs="Times New Roman"/>
                      <w:b/>
                      <w:bCs/>
                      <w:color w:val="auto"/>
                      <w:sz w:val="21"/>
                      <w:szCs w:val="21"/>
                    </w:rPr>
                    <w:t>（</w:t>
                  </w:r>
                  <w:r>
                    <w:rPr>
                      <w:rFonts w:hint="eastAsia" w:ascii="Times New Roman" w:hAnsi="Times New Roman" w:eastAsia="宋体" w:cs="Times New Roman"/>
                      <w:b/>
                      <w:bCs/>
                      <w:kern w:val="2"/>
                      <w:sz w:val="21"/>
                      <w:szCs w:val="21"/>
                      <w:lang w:val="en-US" w:eastAsia="zh-CN"/>
                    </w:rPr>
                    <w:t>h</w:t>
                  </w:r>
                  <w:r>
                    <w:rPr>
                      <w:rFonts w:hint="default" w:ascii="Times New Roman" w:hAnsi="Times New Roman" w:eastAsia="宋体" w:cs="Times New Roman"/>
                      <w:b/>
                      <w:bCs/>
                      <w:color w:val="auto"/>
                      <w:sz w:val="21"/>
                      <w:szCs w:val="21"/>
                    </w:rPr>
                    <w:t>/d）</w:t>
                  </w:r>
                </w:p>
              </w:tc>
              <w:tc>
                <w:tcPr>
                  <w:tcW w:w="782" w:type="pct"/>
                  <w:tcBorders>
                    <w:bottom w:val="single" w:color="auto" w:sz="4" w:space="0"/>
                  </w:tcBorders>
                  <w:noWrap w:val="0"/>
                  <w:vAlign w:val="center"/>
                </w:tcPr>
                <w:p>
                  <w:pPr>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生产负荷（%）</w:t>
                  </w:r>
                </w:p>
              </w:tc>
            </w:tr>
            <w:tr>
              <w:tblPrEx>
                <w:tblBorders>
                  <w:top w:val="single" w:color="000000" w:sz="12" w:space="0"/>
                  <w:left w:val="none" w:color="auto" w:sz="0" w:space="0"/>
                  <w:bottom w:val="single" w:color="000000" w:sz="12" w:space="0"/>
                  <w:right w:val="none" w:color="auto" w:sz="0"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906" w:type="pct"/>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12.18~12.19</w:t>
                  </w:r>
                </w:p>
              </w:tc>
              <w:tc>
                <w:tcPr>
                  <w:tcW w:w="1524" w:type="pct"/>
                  <w:noWrap w:val="0"/>
                  <w:vAlign w:val="center"/>
                </w:tcPr>
                <w:p>
                  <w:pPr>
                    <w:adjustRightInd w:val="0"/>
                    <w:snapToGrid w:val="0"/>
                    <w:jc w:val="center"/>
                    <w:rPr>
                      <w:rFonts w:hint="default" w:ascii="Times New Roman" w:hAnsi="Times New Roman" w:eastAsia="宋体" w:cs="Times New Roman"/>
                      <w:kern w:val="2"/>
                      <w:sz w:val="21"/>
                      <w:szCs w:val="21"/>
                      <w:highlight w:val="yellow"/>
                      <w:lang w:val="en-US" w:eastAsia="zh-CN" w:bidi="ar-SA"/>
                    </w:rPr>
                  </w:pPr>
                  <w:r>
                    <w:rPr>
                      <w:rFonts w:hint="default" w:ascii="Times New Roman" w:hAnsi="Times New Roman" w:eastAsia="宋体" w:cs="Times New Roman"/>
                      <w:sz w:val="21"/>
                      <w:szCs w:val="21"/>
                    </w:rPr>
                    <w:t>空气和废气检测业务</w:t>
                  </w:r>
                </w:p>
              </w:tc>
              <w:tc>
                <w:tcPr>
                  <w:tcW w:w="1010" w:type="pct"/>
                  <w:noWrap w:val="0"/>
                  <w:vAlign w:val="center"/>
                </w:tcPr>
                <w:p>
                  <w:pPr>
                    <w:pStyle w:val="36"/>
                    <w:keepNext w:val="0"/>
                    <w:keepLines w:val="0"/>
                    <w:widowControl/>
                    <w:suppressLineNumbers w:val="0"/>
                    <w:spacing w:before="0" w:beforeLines="0" w:beforeAutospacing="0" w:after="0" w:afterAutospacing="0" w:line="240" w:lineRule="auto"/>
                    <w:ind w:left="0" w:leftChars="0" w:right="0" w:right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w:t>
                  </w:r>
                </w:p>
              </w:tc>
              <w:tc>
                <w:tcPr>
                  <w:tcW w:w="776" w:type="pct"/>
                  <w:noWrap w:val="0"/>
                  <w:vAlign w:val="center"/>
                </w:tcPr>
                <w:p>
                  <w:pPr>
                    <w:pStyle w:val="36"/>
                    <w:keepNext w:val="0"/>
                    <w:keepLines w:val="0"/>
                    <w:widowControl/>
                    <w:suppressLineNumbers w:val="0"/>
                    <w:spacing w:before="0" w:beforeLines="0" w:beforeAutospacing="0" w:after="0" w:afterAutospacing="0" w:line="240" w:lineRule="auto"/>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5</w:t>
                  </w:r>
                </w:p>
              </w:tc>
              <w:tc>
                <w:tcPr>
                  <w:tcW w:w="782" w:type="pct"/>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83.3</w:t>
                  </w:r>
                </w:p>
              </w:tc>
            </w:tr>
            <w:tr>
              <w:tblPrEx>
                <w:tblBorders>
                  <w:top w:val="single" w:color="000000" w:sz="12" w:space="0"/>
                  <w:left w:val="none" w:color="auto" w:sz="0" w:space="0"/>
                  <w:bottom w:val="single" w:color="000000" w:sz="12" w:space="0"/>
                  <w:right w:val="none" w:color="auto" w:sz="0"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906" w:type="pct"/>
                  <w:noWrap w:val="0"/>
                  <w:vAlign w:val="center"/>
                </w:tcPr>
                <w:p>
                  <w:pPr>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12.18~12.19</w:t>
                  </w:r>
                </w:p>
              </w:tc>
              <w:tc>
                <w:tcPr>
                  <w:tcW w:w="1524" w:type="pct"/>
                  <w:noWrap w:val="0"/>
                  <w:vAlign w:val="center"/>
                </w:tcPr>
                <w:p>
                  <w:pPr>
                    <w:adjustRightInd w:val="0"/>
                    <w:snapToGrid w:val="0"/>
                    <w:jc w:val="center"/>
                    <w:rPr>
                      <w:rFonts w:hint="default" w:ascii="Times New Roman" w:hAnsi="Times New Roman" w:eastAsia="宋体" w:cs="Times New Roman"/>
                      <w:kern w:val="2"/>
                      <w:sz w:val="21"/>
                      <w:szCs w:val="21"/>
                      <w:highlight w:val="yellow"/>
                      <w:lang w:val="en-US" w:eastAsia="zh-CN" w:bidi="ar-SA"/>
                    </w:rPr>
                  </w:pPr>
                  <w:r>
                    <w:rPr>
                      <w:rFonts w:hint="default" w:ascii="Times New Roman" w:hAnsi="Times New Roman" w:eastAsia="宋体" w:cs="Times New Roman"/>
                      <w:sz w:val="21"/>
                      <w:szCs w:val="21"/>
                    </w:rPr>
                    <w:t>水质检测业务</w:t>
                  </w:r>
                </w:p>
              </w:tc>
              <w:tc>
                <w:tcPr>
                  <w:tcW w:w="1010" w:type="pct"/>
                  <w:noWrap w:val="0"/>
                  <w:vAlign w:val="center"/>
                </w:tcPr>
                <w:p>
                  <w:pPr>
                    <w:pStyle w:val="36"/>
                    <w:keepNext w:val="0"/>
                    <w:keepLines w:val="0"/>
                    <w:widowControl/>
                    <w:suppressLineNumbers w:val="0"/>
                    <w:spacing w:before="0" w:beforeLines="0" w:beforeAutospacing="0" w:after="0" w:afterAutospacing="0" w:line="240" w:lineRule="auto"/>
                    <w:ind w:left="0" w:leftChars="0" w:right="0" w:right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w:t>
                  </w:r>
                </w:p>
              </w:tc>
              <w:tc>
                <w:tcPr>
                  <w:tcW w:w="776" w:type="pct"/>
                  <w:noWrap w:val="0"/>
                  <w:vAlign w:val="center"/>
                </w:tcPr>
                <w:p>
                  <w:pPr>
                    <w:pStyle w:val="36"/>
                    <w:keepNext w:val="0"/>
                    <w:keepLines w:val="0"/>
                    <w:widowControl/>
                    <w:suppressLineNumbers w:val="0"/>
                    <w:spacing w:before="0" w:beforeLines="0" w:beforeAutospacing="0" w:after="0" w:afterAutospacing="0" w:line="240" w:lineRule="auto"/>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5.5</w:t>
                  </w:r>
                </w:p>
              </w:tc>
              <w:tc>
                <w:tcPr>
                  <w:tcW w:w="782" w:type="pct"/>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91.6</w:t>
                  </w:r>
                </w:p>
              </w:tc>
            </w:tr>
            <w:tr>
              <w:tblPrEx>
                <w:tblBorders>
                  <w:top w:val="single" w:color="000000" w:sz="12" w:space="0"/>
                  <w:left w:val="none" w:color="auto" w:sz="0" w:space="0"/>
                  <w:bottom w:val="single" w:color="000000" w:sz="12" w:space="0"/>
                  <w:right w:val="none" w:color="auto" w:sz="0"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906" w:type="pct"/>
                  <w:noWrap w:val="0"/>
                  <w:vAlign w:val="center"/>
                </w:tcPr>
                <w:p>
                  <w:pPr>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12.18~12.19</w:t>
                  </w:r>
                </w:p>
              </w:tc>
              <w:tc>
                <w:tcPr>
                  <w:tcW w:w="1524" w:type="pct"/>
                  <w:noWrap w:val="0"/>
                  <w:vAlign w:val="center"/>
                </w:tcPr>
                <w:p>
                  <w:pPr>
                    <w:adjustRightInd w:val="0"/>
                    <w:snapToGrid w:val="0"/>
                    <w:jc w:val="center"/>
                    <w:rPr>
                      <w:rFonts w:hint="default" w:ascii="Times New Roman" w:hAnsi="Times New Roman" w:eastAsia="宋体" w:cs="Times New Roman"/>
                      <w:kern w:val="2"/>
                      <w:sz w:val="21"/>
                      <w:szCs w:val="21"/>
                      <w:highlight w:val="yellow"/>
                      <w:lang w:val="en-US" w:eastAsia="zh-CN" w:bidi="ar-SA"/>
                    </w:rPr>
                  </w:pPr>
                  <w:r>
                    <w:rPr>
                      <w:rFonts w:hint="default" w:ascii="Times New Roman" w:hAnsi="Times New Roman" w:eastAsia="宋体" w:cs="Times New Roman"/>
                      <w:sz w:val="21"/>
                      <w:szCs w:val="21"/>
                    </w:rPr>
                    <w:t>噪声检测业务（现场检测）</w:t>
                  </w:r>
                </w:p>
              </w:tc>
              <w:tc>
                <w:tcPr>
                  <w:tcW w:w="1010" w:type="pct"/>
                  <w:noWrap w:val="0"/>
                  <w:vAlign w:val="center"/>
                </w:tcPr>
                <w:p>
                  <w:pPr>
                    <w:pStyle w:val="36"/>
                    <w:keepNext w:val="0"/>
                    <w:keepLines w:val="0"/>
                    <w:widowControl/>
                    <w:suppressLineNumbers w:val="0"/>
                    <w:spacing w:before="0" w:beforeLines="0" w:beforeAutospacing="0" w:after="0" w:afterAutospacing="0" w:line="240" w:lineRule="auto"/>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0.4</w:t>
                  </w:r>
                </w:p>
              </w:tc>
              <w:tc>
                <w:tcPr>
                  <w:tcW w:w="776" w:type="pct"/>
                  <w:noWrap w:val="0"/>
                  <w:vAlign w:val="center"/>
                </w:tcPr>
                <w:p>
                  <w:pPr>
                    <w:pStyle w:val="36"/>
                    <w:keepNext w:val="0"/>
                    <w:keepLines w:val="0"/>
                    <w:widowControl/>
                    <w:suppressLineNumbers w:val="0"/>
                    <w:spacing w:before="0" w:beforeLines="0" w:beforeAutospacing="0" w:after="0" w:afterAutospacing="0" w:line="240" w:lineRule="auto"/>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0.4</w:t>
                  </w:r>
                </w:p>
              </w:tc>
              <w:tc>
                <w:tcPr>
                  <w:tcW w:w="782" w:type="pct"/>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100</w:t>
                  </w:r>
                </w:p>
              </w:tc>
            </w:tr>
            <w:tr>
              <w:tblPrEx>
                <w:tblBorders>
                  <w:top w:val="single" w:color="000000" w:sz="12" w:space="0"/>
                  <w:left w:val="none" w:color="auto" w:sz="0" w:space="0"/>
                  <w:bottom w:val="single" w:color="000000" w:sz="12" w:space="0"/>
                  <w:right w:val="none" w:color="auto" w:sz="0"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906" w:type="pct"/>
                  <w:noWrap w:val="0"/>
                  <w:vAlign w:val="center"/>
                </w:tcPr>
                <w:p>
                  <w:pPr>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12.18~12.19</w:t>
                  </w:r>
                </w:p>
              </w:tc>
              <w:tc>
                <w:tcPr>
                  <w:tcW w:w="1524" w:type="pct"/>
                  <w:noWrap w:val="0"/>
                  <w:vAlign w:val="center"/>
                </w:tcPr>
                <w:p>
                  <w:pPr>
                    <w:adjustRightInd w:val="0"/>
                    <w:snapToGrid w:val="0"/>
                    <w:jc w:val="center"/>
                    <w:rPr>
                      <w:rFonts w:hint="default" w:ascii="Times New Roman" w:hAnsi="Times New Roman" w:eastAsia="宋体" w:cs="Times New Roman"/>
                      <w:kern w:val="2"/>
                      <w:sz w:val="21"/>
                      <w:szCs w:val="21"/>
                      <w:highlight w:val="yellow"/>
                      <w:lang w:val="en-US" w:eastAsia="zh-CN" w:bidi="ar-SA"/>
                    </w:rPr>
                  </w:pPr>
                  <w:r>
                    <w:rPr>
                      <w:rFonts w:hint="default" w:ascii="Times New Roman" w:hAnsi="Times New Roman" w:eastAsia="宋体" w:cs="Times New Roman"/>
                      <w:sz w:val="21"/>
                      <w:szCs w:val="21"/>
                    </w:rPr>
                    <w:t>土壤检测业务</w:t>
                  </w:r>
                </w:p>
              </w:tc>
              <w:tc>
                <w:tcPr>
                  <w:tcW w:w="1010" w:type="pct"/>
                  <w:noWrap w:val="0"/>
                  <w:vAlign w:val="center"/>
                </w:tcPr>
                <w:p>
                  <w:pPr>
                    <w:pStyle w:val="36"/>
                    <w:keepNext w:val="0"/>
                    <w:keepLines w:val="0"/>
                    <w:widowControl/>
                    <w:suppressLineNumbers w:val="0"/>
                    <w:spacing w:before="0" w:beforeLines="0" w:beforeAutospacing="0" w:after="0" w:afterAutospacing="0" w:line="240" w:lineRule="auto"/>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w:t>
                  </w:r>
                </w:p>
              </w:tc>
              <w:tc>
                <w:tcPr>
                  <w:tcW w:w="776" w:type="pct"/>
                  <w:noWrap w:val="0"/>
                  <w:vAlign w:val="center"/>
                </w:tcPr>
                <w:p>
                  <w:pPr>
                    <w:pStyle w:val="37"/>
                    <w:spacing w:line="300" w:lineRule="exact"/>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1.5</w:t>
                  </w:r>
                </w:p>
              </w:tc>
              <w:tc>
                <w:tcPr>
                  <w:tcW w:w="782" w:type="pct"/>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75</w:t>
                  </w:r>
                </w:p>
              </w:tc>
            </w:tr>
          </w:tbl>
          <w:p>
            <w:pPr>
              <w:rPr>
                <w:rFonts w:hint="default" w:ascii="Times New Roman" w:hAnsi="Times New Roman" w:eastAsia="宋体" w:cs="Times New Roman"/>
                <w:b/>
                <w:bCs/>
                <w:sz w:val="24"/>
                <w:szCs w:val="32"/>
                <w:vertAlign w:val="baseline"/>
                <w:lang w:val="en-US" w:eastAsia="zh-CN"/>
              </w:rPr>
            </w:pPr>
            <w:r>
              <w:rPr>
                <w:rFonts w:hint="default" w:ascii="Times New Roman" w:hAnsi="Times New Roman" w:eastAsia="宋体" w:cs="Times New Roman"/>
                <w:b/>
                <w:bCs/>
                <w:sz w:val="24"/>
                <w:szCs w:val="32"/>
                <w:vertAlign w:val="baseline"/>
                <w:lang w:val="en-US" w:eastAsia="zh-CN"/>
              </w:rPr>
              <w:t>验收监测结果：</w:t>
            </w:r>
          </w:p>
          <w:p>
            <w:pPr>
              <w:pStyle w:val="2"/>
              <w:numPr>
                <w:ilvl w:val="0"/>
                <w:numId w:val="0"/>
              </w:numPr>
              <w:spacing w:line="360" w:lineRule="auto"/>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color w:val="000000"/>
                <w:sz w:val="24"/>
                <w:szCs w:val="24"/>
                <w:lang w:val="en-US" w:eastAsia="zh-CN" w:bidi="ar-SA"/>
              </w:rPr>
              <w:t>1、</w:t>
            </w:r>
            <w:r>
              <w:rPr>
                <w:rFonts w:hint="default" w:ascii="Times New Roman" w:hAnsi="Times New Roman" w:eastAsia="宋体" w:cs="Times New Roman"/>
                <w:b w:val="0"/>
                <w:bCs/>
                <w:lang w:val="en-US" w:eastAsia="zh-CN"/>
              </w:rPr>
              <w:t>废气监测</w:t>
            </w:r>
          </w:p>
          <w:p>
            <w:pPr>
              <w:pStyle w:val="2"/>
              <w:numPr>
                <w:ilvl w:val="0"/>
                <w:numId w:val="0"/>
              </w:numPr>
              <w:spacing w:line="360" w:lineRule="auto"/>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①有组织废气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建设项目有组织废气检测结果见表</w:t>
            </w:r>
            <w:r>
              <w:rPr>
                <w:rFonts w:hint="default" w:ascii="Times New Roman" w:hAnsi="Times New Roman" w:eastAsia="宋体" w:cs="Times New Roman"/>
                <w:sz w:val="24"/>
                <w:lang w:val="en-US" w:eastAsia="zh-CN"/>
              </w:rPr>
              <w:t>7-2</w:t>
            </w:r>
            <w:r>
              <w:rPr>
                <w:rFonts w:hint="default" w:ascii="Times New Roman" w:hAnsi="Times New Roman" w:eastAsia="宋体" w:cs="Times New Roman"/>
                <w:sz w:val="24"/>
              </w:rPr>
              <w:t>。</w:t>
            </w:r>
          </w:p>
          <w:p>
            <w:pPr>
              <w:pStyle w:val="2"/>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 xml:space="preserve">表7-2  </w:t>
            </w:r>
            <w:r>
              <w:rPr>
                <w:rFonts w:hint="default" w:ascii="Times New Roman" w:hAnsi="Times New Roman" w:eastAsia="宋体" w:cs="Times New Roman"/>
                <w:b/>
                <w:bCs/>
                <w:sz w:val="21"/>
                <w:szCs w:val="21"/>
              </w:rPr>
              <w:t>有组织废气监测结果数据统计表</w:t>
            </w:r>
          </w:p>
          <w:tbl>
            <w:tblPr>
              <w:tblStyle w:val="21"/>
              <w:tblW w:w="4995"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27"/>
              <w:gridCol w:w="925"/>
              <w:gridCol w:w="1300"/>
              <w:gridCol w:w="1328"/>
              <w:gridCol w:w="1300"/>
              <w:gridCol w:w="1414"/>
              <w:gridCol w:w="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监测点位</w:t>
                  </w:r>
                </w:p>
              </w:tc>
              <w:tc>
                <w:tcPr>
                  <w:tcW w:w="2140"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eastAsiaTheme="minorEastAsia"/>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排气筒</w:t>
                  </w:r>
                  <w:r>
                    <w:rPr>
                      <w:rFonts w:hint="default" w:ascii="Times New Roman" w:hAnsi="Times New Roman" w:cs="Times New Roman"/>
                      <w:b w:val="0"/>
                      <w:bCs/>
                      <w:szCs w:val="21"/>
                    </w:rPr>
                    <w:t>DA0</w:t>
                  </w:r>
                  <w:r>
                    <w:rPr>
                      <w:rFonts w:hint="default" w:ascii="Times New Roman" w:hAnsi="Times New Roman" w:cs="Times New Roman"/>
                      <w:b w:val="0"/>
                      <w:bCs/>
                      <w:szCs w:val="21"/>
                      <w:lang w:val="en-US" w:eastAsia="zh-CN"/>
                    </w:rPr>
                    <w:t>01</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排气筒高度</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15</w:t>
                  </w:r>
                  <w:r>
                    <w:rPr>
                      <w:rFonts w:hint="eastAsia" w:ascii="Times New Roman" w:hAnsi="Times New Roman" w:eastAsia="宋体" w:cs="Times New Roman"/>
                      <w:b w:val="0"/>
                      <w:bCs/>
                      <w:color w:val="auto"/>
                      <w:sz w:val="21"/>
                      <w:szCs w:val="21"/>
                      <w:vertAlign w:val="baseline"/>
                      <w:lang w:val="en-US" w:eastAsia="zh-CN"/>
                    </w:rPr>
                    <w:t>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处理设施</w:t>
                  </w:r>
                </w:p>
              </w:tc>
              <w:tc>
                <w:tcPr>
                  <w:tcW w:w="2140"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szCs w:val="21"/>
                      <w:lang w:val="en-US" w:eastAsia="zh-CN"/>
                    </w:rPr>
                    <w:t>碱喷淋装置、二级活性炭吸附装置</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采样日期</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b w:val="0"/>
                      <w:bCs/>
                      <w:color w:val="auto"/>
                      <w:sz w:val="21"/>
                      <w:szCs w:val="21"/>
                      <w:vertAlign w:val="baseline"/>
                      <w:lang w:val="en-US" w:eastAsia="zh-CN"/>
                    </w:rPr>
                    <w:t>2023.12.18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检测项目</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单位</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第一次</w:t>
                  </w:r>
                </w:p>
              </w:tc>
              <w:tc>
                <w:tcPr>
                  <w:tcW w:w="80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第二次</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第三次</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参考标准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氯化氢</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pStyle w:val="28"/>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b w:val="0"/>
                      <w:bCs/>
                      <w:color w:val="auto"/>
                      <w:sz w:val="21"/>
                      <w:szCs w:val="21"/>
                      <w:vertAlign w:val="baseline"/>
                      <w:lang w:val="en-US" w:eastAsia="zh-CN"/>
                    </w:rPr>
                    <w:t>1.75</w:t>
                  </w:r>
                </w:p>
              </w:tc>
              <w:tc>
                <w:tcPr>
                  <w:tcW w:w="800" w:type="pct"/>
                  <w:tcBorders>
                    <w:tl2br w:val="nil"/>
                    <w:tr2bl w:val="nil"/>
                  </w:tcBorders>
                  <w:noWrap w:val="0"/>
                  <w:vAlign w:val="center"/>
                </w:tcPr>
                <w:p>
                  <w:pPr>
                    <w:pStyle w:val="28"/>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b w:val="0"/>
                      <w:bCs/>
                      <w:color w:val="auto"/>
                      <w:sz w:val="21"/>
                      <w:szCs w:val="21"/>
                      <w:vertAlign w:val="baseline"/>
                      <w:lang w:val="en-US" w:eastAsia="zh-CN"/>
                    </w:rPr>
                    <w:t>1.79</w:t>
                  </w:r>
                </w:p>
              </w:tc>
              <w:tc>
                <w:tcPr>
                  <w:tcW w:w="783" w:type="pct"/>
                  <w:tcBorders>
                    <w:tl2br w:val="nil"/>
                    <w:tr2bl w:val="nil"/>
                  </w:tcBorders>
                  <w:noWrap w:val="0"/>
                  <w:vAlign w:val="center"/>
                </w:tcPr>
                <w:p>
                  <w:pPr>
                    <w:pStyle w:val="28"/>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b w:val="0"/>
                      <w:bCs/>
                      <w:color w:val="auto"/>
                      <w:sz w:val="21"/>
                      <w:szCs w:val="21"/>
                      <w:vertAlign w:val="baseline"/>
                      <w:lang w:val="en-US" w:eastAsia="zh-CN"/>
                    </w:rPr>
                    <w:t>1.84</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硫酸雾</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pStyle w:val="28"/>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氮氧化物</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vertAlign w:val="baseline"/>
                      <w:lang w:val="en-US" w:eastAsia="zh-CN"/>
                    </w:rPr>
                    <w:t>100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四氯乙烯</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pStyle w:val="28"/>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氯气</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非甲烷总烃</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0.34</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0.77</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0.32</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vertAlign w:val="baseline"/>
                      <w:lang w:val="en-US" w:eastAsia="zh-CN"/>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甲醛</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三氯甲烷</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vertAlign w:val="baseline"/>
                      <w:lang w:val="en-US" w:eastAsia="zh-C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二硫化碳</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lang w:val="en-US" w:eastAsia="zh-CN"/>
                    </w:rPr>
                  </w:pPr>
                  <w:r>
                    <w:rPr>
                      <w:rFonts w:hint="eastAsia" w:ascii="Times New Roman" w:hAnsi="Times New Roman" w:eastAsia="宋体" w:cs="Times New Roman"/>
                      <w:i w:val="0"/>
                      <w:iCs w:val="0"/>
                      <w:color w:val="auto"/>
                      <w:kern w:val="0"/>
                      <w:sz w:val="21"/>
                      <w:szCs w:val="21"/>
                      <w:u w:val="none"/>
                      <w:lang w:val="en-US" w:eastAsia="zh-CN" w:bidi="ar"/>
                    </w:rPr>
                    <w:t>0.03</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0.06</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vertAlign w:val="baseline"/>
                      <w:lang w:val="en-US" w:eastAsia="zh-CN"/>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氨</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sz w:val="21"/>
                      <w:szCs w:val="21"/>
                      <w:vertAlign w:val="baseline"/>
                      <w:lang w:val="en-US" w:eastAsia="zh-CN"/>
                    </w:rPr>
                  </w:pPr>
                  <w:r>
                    <w:rPr>
                      <w:rFonts w:hint="default" w:ascii="Times New Roman" w:hAnsi="Times New Roman" w:eastAsia="宋体" w:cs="Times New Roman"/>
                      <w:b w:val="0"/>
                      <w:bCs/>
                      <w:sz w:val="21"/>
                      <w:szCs w:val="21"/>
                      <w:vertAlign w:val="baseline"/>
                      <w:lang w:val="en-US" w:eastAsia="zh-CN"/>
                    </w:rPr>
                    <w:t>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bCs w:val="0"/>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监测点位</w:t>
                  </w:r>
                </w:p>
              </w:tc>
              <w:tc>
                <w:tcPr>
                  <w:tcW w:w="2140"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eastAsiaTheme="minorEastAsia"/>
                      <w:b w:val="0"/>
                      <w:bCs/>
                      <w:color w:val="auto"/>
                      <w:kern w:val="2"/>
                      <w:sz w:val="21"/>
                      <w:szCs w:val="21"/>
                      <w:vertAlign w:val="baseline"/>
                      <w:lang w:val="en-US" w:eastAsia="zh-CN" w:bidi="ar-SA"/>
                    </w:rPr>
                  </w:pPr>
                  <w:r>
                    <w:rPr>
                      <w:rFonts w:hint="default" w:ascii="Times New Roman" w:hAnsi="Times New Roman" w:eastAsia="宋体" w:cs="Times New Roman"/>
                      <w:b w:val="0"/>
                      <w:bCs/>
                      <w:color w:val="auto"/>
                      <w:sz w:val="21"/>
                      <w:szCs w:val="21"/>
                      <w:vertAlign w:val="baseline"/>
                      <w:lang w:val="en-US" w:eastAsia="zh-CN"/>
                    </w:rPr>
                    <w:t>排气筒</w:t>
                  </w:r>
                  <w:r>
                    <w:rPr>
                      <w:rFonts w:hint="default" w:ascii="Times New Roman" w:hAnsi="Times New Roman" w:cs="Times New Roman"/>
                      <w:b w:val="0"/>
                      <w:bCs/>
                      <w:szCs w:val="21"/>
                    </w:rPr>
                    <w:t>DA0</w:t>
                  </w:r>
                  <w:r>
                    <w:rPr>
                      <w:rFonts w:hint="default" w:ascii="Times New Roman" w:hAnsi="Times New Roman" w:cs="Times New Roman"/>
                      <w:b w:val="0"/>
                      <w:bCs/>
                      <w:szCs w:val="21"/>
                      <w:lang w:val="en-US" w:eastAsia="zh-CN"/>
                    </w:rPr>
                    <w:t>01</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排气筒高度</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15</w:t>
                  </w:r>
                  <w:r>
                    <w:rPr>
                      <w:rFonts w:hint="eastAsia" w:ascii="Times New Roman" w:hAnsi="Times New Roman" w:eastAsia="宋体" w:cs="Times New Roman"/>
                      <w:b w:val="0"/>
                      <w:bCs/>
                      <w:color w:val="auto"/>
                      <w:sz w:val="21"/>
                      <w:szCs w:val="21"/>
                      <w:vertAlign w:val="baseline"/>
                      <w:lang w:val="en-US" w:eastAsia="zh-CN"/>
                    </w:rPr>
                    <w:t>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处理设施</w:t>
                  </w:r>
                </w:p>
              </w:tc>
              <w:tc>
                <w:tcPr>
                  <w:tcW w:w="2140"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kern w:val="2"/>
                      <w:sz w:val="21"/>
                      <w:szCs w:val="21"/>
                      <w:vertAlign w:val="baseline"/>
                      <w:lang w:val="en-US" w:eastAsia="zh-CN" w:bidi="ar-SA"/>
                    </w:rPr>
                  </w:pPr>
                  <w:r>
                    <w:rPr>
                      <w:rFonts w:hint="default" w:ascii="Times New Roman" w:hAnsi="Times New Roman" w:eastAsia="宋体" w:cs="Times New Roman"/>
                      <w:szCs w:val="21"/>
                      <w:lang w:val="en-US" w:eastAsia="zh-CN"/>
                    </w:rPr>
                    <w:t>碱喷淋装置、二级活性炭吸附装置</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采样日期</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b w:val="0"/>
                      <w:bCs/>
                      <w:color w:val="auto"/>
                      <w:sz w:val="21"/>
                      <w:szCs w:val="21"/>
                      <w:vertAlign w:val="baseline"/>
                      <w:lang w:val="en-US" w:eastAsia="zh-CN"/>
                    </w:rPr>
                    <w:t>2023.12.19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检测项目</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单位</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第一次</w:t>
                  </w:r>
                </w:p>
              </w:tc>
              <w:tc>
                <w:tcPr>
                  <w:tcW w:w="80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第二次</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第三次</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eastAsia="zh-CN"/>
                    </w:rPr>
                  </w:pPr>
                  <w:r>
                    <w:rPr>
                      <w:rFonts w:hint="default" w:ascii="Times New Roman" w:hAnsi="Times New Roman" w:eastAsia="宋体" w:cs="Times New Roman"/>
                      <w:b w:val="0"/>
                      <w:bCs/>
                      <w:color w:val="auto"/>
                      <w:sz w:val="21"/>
                      <w:szCs w:val="21"/>
                      <w:vertAlign w:val="baseline"/>
                      <w:lang w:eastAsia="zh-CN"/>
                    </w:rPr>
                    <w:t>参考标准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氯化氢</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pStyle w:val="28"/>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b w:val="0"/>
                      <w:bCs/>
                      <w:color w:val="auto"/>
                      <w:sz w:val="21"/>
                      <w:szCs w:val="21"/>
                      <w:vertAlign w:val="baseline"/>
                      <w:lang w:val="en-US" w:eastAsia="zh-CN"/>
                    </w:rPr>
                    <w:t>1.87</w:t>
                  </w:r>
                </w:p>
              </w:tc>
              <w:tc>
                <w:tcPr>
                  <w:tcW w:w="800" w:type="pct"/>
                  <w:tcBorders>
                    <w:tl2br w:val="nil"/>
                    <w:tr2bl w:val="nil"/>
                  </w:tcBorders>
                  <w:noWrap w:val="0"/>
                  <w:vAlign w:val="center"/>
                </w:tcPr>
                <w:p>
                  <w:pPr>
                    <w:pStyle w:val="28"/>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b w:val="0"/>
                      <w:bCs/>
                      <w:color w:val="auto"/>
                      <w:sz w:val="21"/>
                      <w:szCs w:val="21"/>
                      <w:vertAlign w:val="baseline"/>
                      <w:lang w:val="en-US" w:eastAsia="zh-CN"/>
                    </w:rPr>
                    <w:t>1.87</w:t>
                  </w:r>
                </w:p>
              </w:tc>
              <w:tc>
                <w:tcPr>
                  <w:tcW w:w="783" w:type="pct"/>
                  <w:tcBorders>
                    <w:tl2br w:val="nil"/>
                    <w:tr2bl w:val="nil"/>
                  </w:tcBorders>
                  <w:noWrap w:val="0"/>
                  <w:vAlign w:val="center"/>
                </w:tcPr>
                <w:p>
                  <w:pPr>
                    <w:pStyle w:val="28"/>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b w:val="0"/>
                      <w:bCs/>
                      <w:color w:val="auto"/>
                      <w:sz w:val="21"/>
                      <w:szCs w:val="21"/>
                      <w:vertAlign w:val="baseline"/>
                      <w:lang w:val="en-US" w:eastAsia="zh-CN"/>
                    </w:rPr>
                    <w:t>1.89</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kern w:val="2"/>
                      <w:sz w:val="21"/>
                      <w:szCs w:val="21"/>
                      <w:vertAlign w:val="baseline"/>
                      <w:lang w:val="en-US" w:eastAsia="zh-CN" w:bidi="ar-SA"/>
                    </w:rPr>
                  </w:pPr>
                  <w:r>
                    <w:rPr>
                      <w:rFonts w:hint="default" w:ascii="Times New Roman" w:hAnsi="Times New Roman" w:eastAsia="宋体" w:cs="Times New Roman"/>
                      <w:b w:val="0"/>
                      <w:bCs/>
                      <w:color w:val="auto"/>
                      <w:sz w:val="21"/>
                      <w:szCs w:val="21"/>
                      <w:vertAlign w:val="baseline"/>
                      <w:lang w:val="en-US" w:eastAsia="zh-CN"/>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硫酸雾</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pStyle w:val="28"/>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kern w:val="2"/>
                      <w:sz w:val="21"/>
                      <w:szCs w:val="21"/>
                      <w:vertAlign w:val="baseline"/>
                      <w:lang w:val="en-US" w:eastAsia="zh-CN" w:bidi="ar-SA"/>
                    </w:rPr>
                  </w:pPr>
                  <w:r>
                    <w:rPr>
                      <w:rFonts w:hint="default" w:ascii="Times New Roman" w:hAnsi="Times New Roman" w:eastAsia="宋体" w:cs="Times New Roman"/>
                      <w:b w:val="0"/>
                      <w:bCs/>
                      <w:color w:val="auto"/>
                      <w:sz w:val="21"/>
                      <w:szCs w:val="21"/>
                      <w:vertAlign w:val="baseline"/>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氮氧化物</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kern w:val="2"/>
                      <w:sz w:val="21"/>
                      <w:szCs w:val="21"/>
                      <w:vertAlign w:val="baseline"/>
                      <w:lang w:val="en-US" w:eastAsia="zh-CN" w:bidi="ar-SA"/>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before="0" w:line="240" w:lineRule="auto"/>
                    <w:ind w:left="0" w:leftChars="0"/>
                    <w:jc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kern w:val="2"/>
                      <w:sz w:val="21"/>
                      <w:szCs w:val="21"/>
                      <w:vertAlign w:val="baseline"/>
                      <w:lang w:val="en-US" w:eastAsia="zh-CN" w:bidi="ar-SA"/>
                    </w:rPr>
                  </w:pPr>
                  <w:r>
                    <w:rPr>
                      <w:rFonts w:hint="default" w:ascii="Times New Roman" w:hAnsi="Times New Roman" w:eastAsia="宋体" w:cs="Times New Roman"/>
                      <w:b w:val="0"/>
                      <w:bCs/>
                      <w:sz w:val="21"/>
                      <w:szCs w:val="21"/>
                      <w:vertAlign w:val="baseline"/>
                      <w:lang w:val="en-US" w:eastAsia="zh-CN"/>
                    </w:rPr>
                    <w:t>100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四氯乙烯</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b w:val="0"/>
                      <w:bCs/>
                      <w:color w:val="auto"/>
                      <w:sz w:val="21"/>
                      <w:szCs w:val="21"/>
                      <w:vertAlign w:val="baseline"/>
                      <w:lang w:val="en-US" w:eastAsia="zh-CN"/>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kern w:val="2"/>
                      <w:sz w:val="21"/>
                      <w:szCs w:val="21"/>
                      <w:vertAlign w:val="baseline"/>
                      <w:lang w:val="en-US" w:eastAsia="zh-CN" w:bidi="ar-SA"/>
                    </w:rPr>
                  </w:pPr>
                  <w:r>
                    <w:rPr>
                      <w:rFonts w:hint="default" w:ascii="Times New Roman" w:hAnsi="Times New Roman" w:eastAsia="宋体" w:cs="Times New Roman"/>
                      <w:b w:val="0"/>
                      <w:bCs/>
                      <w:color w:val="auto"/>
                      <w:sz w:val="21"/>
                      <w:szCs w:val="21"/>
                      <w:vertAlign w:val="baseline"/>
                      <w:lang w:val="en-US" w:eastAsia="zh-CN"/>
                    </w:rPr>
                    <w:t>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氯气</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kern w:val="2"/>
                      <w:sz w:val="21"/>
                      <w:szCs w:val="21"/>
                      <w:vertAlign w:val="baseline"/>
                      <w:lang w:val="en-US" w:eastAsia="zh-CN" w:bidi="ar-SA"/>
                    </w:rPr>
                  </w:pPr>
                  <w:r>
                    <w:rPr>
                      <w:rFonts w:hint="default" w:ascii="Times New Roman" w:hAnsi="Times New Roman" w:eastAsia="宋体" w:cs="Times New Roman"/>
                      <w:b w:val="0"/>
                      <w:bCs/>
                      <w:color w:val="auto"/>
                      <w:sz w:val="21"/>
                      <w:szCs w:val="21"/>
                      <w:vertAlign w:val="baseline"/>
                      <w:lang w:val="en-US" w:eastAsia="zh-CN"/>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非甲烷总烃</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0.79</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0.61</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0.58</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kern w:val="2"/>
                      <w:sz w:val="21"/>
                      <w:szCs w:val="21"/>
                      <w:vertAlign w:val="baseline"/>
                      <w:lang w:val="en-US" w:eastAsia="zh-CN" w:bidi="ar-SA"/>
                    </w:rPr>
                  </w:pPr>
                  <w:r>
                    <w:rPr>
                      <w:rFonts w:hint="default" w:ascii="Times New Roman" w:hAnsi="Times New Roman" w:eastAsia="宋体" w:cs="Times New Roman"/>
                      <w:b w:val="0"/>
                      <w:bCs/>
                      <w:sz w:val="21"/>
                      <w:szCs w:val="21"/>
                      <w:vertAlign w:val="baseline"/>
                      <w:lang w:val="en-US" w:eastAsia="zh-CN"/>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甲醛</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kern w:val="2"/>
                      <w:sz w:val="21"/>
                      <w:szCs w:val="21"/>
                      <w:vertAlign w:val="baseline"/>
                      <w:lang w:val="en-US" w:eastAsia="zh-CN" w:bidi="ar-SA"/>
                    </w:rPr>
                  </w:pPr>
                  <w:r>
                    <w:rPr>
                      <w:rFonts w:hint="default" w:ascii="Times New Roman" w:hAnsi="Times New Roman" w:eastAsia="宋体" w:cs="Times New Roman"/>
                      <w:b w:val="0"/>
                      <w:bCs/>
                      <w:color w:val="auto"/>
                      <w:sz w:val="21"/>
                      <w:szCs w:val="21"/>
                      <w:vertAlign w:val="baseline"/>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三氯甲烷</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kern w:val="2"/>
                      <w:sz w:val="21"/>
                      <w:szCs w:val="21"/>
                      <w:vertAlign w:val="baseline"/>
                      <w:lang w:val="en-US" w:eastAsia="zh-CN" w:bidi="ar-SA"/>
                    </w:rPr>
                  </w:pPr>
                  <w:r>
                    <w:rPr>
                      <w:rFonts w:hint="default" w:ascii="Times New Roman" w:hAnsi="Times New Roman" w:eastAsia="宋体" w:cs="Times New Roman"/>
                      <w:b w:val="0"/>
                      <w:bCs/>
                      <w:sz w:val="21"/>
                      <w:szCs w:val="21"/>
                      <w:vertAlign w:val="baseline"/>
                      <w:lang w:val="en-US" w:eastAsia="zh-CN"/>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1221" w:type="pct"/>
                  <w:tcBorders>
                    <w:tl2br w:val="nil"/>
                    <w:tr2bl w:val="nil"/>
                  </w:tcBorders>
                  <w:noWrap w:val="0"/>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二硫化碳</w:t>
                  </w:r>
                </w:p>
              </w:tc>
              <w:tc>
                <w:tcPr>
                  <w:tcW w:w="557"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0.08</w:t>
                  </w:r>
                </w:p>
              </w:tc>
              <w:tc>
                <w:tcPr>
                  <w:tcW w:w="800"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0.03</w:t>
                  </w:r>
                </w:p>
              </w:tc>
              <w:tc>
                <w:tcPr>
                  <w:tcW w:w="783"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0.05</w:t>
                  </w:r>
                </w:p>
              </w:tc>
              <w:tc>
                <w:tcPr>
                  <w:tcW w:w="85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kern w:val="2"/>
                      <w:sz w:val="21"/>
                      <w:szCs w:val="21"/>
                      <w:vertAlign w:val="baseline"/>
                      <w:lang w:val="en-US" w:eastAsia="zh-CN" w:bidi="ar-SA"/>
                    </w:rPr>
                  </w:pPr>
                  <w:r>
                    <w:rPr>
                      <w:rFonts w:hint="default" w:ascii="Times New Roman" w:hAnsi="Times New Roman" w:eastAsia="宋体" w:cs="Times New Roman"/>
                      <w:b w:val="0"/>
                      <w:bCs/>
                      <w:sz w:val="21"/>
                      <w:szCs w:val="21"/>
                      <w:vertAlign w:val="baseline"/>
                      <w:lang w:val="en-US" w:eastAsia="zh-CN"/>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340" w:hRule="atLeast"/>
                <w:jc w:val="center"/>
              </w:trPr>
              <w:tc>
                <w:tcPr>
                  <w:tcW w:w="2027" w:type="dxa"/>
                  <w:vAlign w:val="center"/>
                </w:tcPr>
                <w:p>
                  <w:pPr>
                    <w:adjustRightInd w:val="0"/>
                    <w:snapToGrid w:val="0"/>
                    <w:jc w:val="center"/>
                    <w:rPr>
                      <w:rFonts w:hint="default" w:ascii="Times New Roman" w:hAnsi="Times New Roman" w:eastAsia="宋体" w:cs="Times New Roman"/>
                      <w:snapToGrid w:val="0"/>
                      <w:kern w:val="0"/>
                      <w:sz w:val="21"/>
                      <w:szCs w:val="21"/>
                      <w:lang w:val="en-US" w:eastAsia="zh-CN" w:bidi="ar-SA"/>
                    </w:rPr>
                  </w:pPr>
                  <w:r>
                    <w:rPr>
                      <w:rFonts w:hint="default" w:ascii="Times New Roman" w:hAnsi="Times New Roman" w:cs="Times New Roman"/>
                      <w:snapToGrid w:val="0"/>
                      <w:kern w:val="0"/>
                      <w:szCs w:val="21"/>
                    </w:rPr>
                    <w:t>氨</w:t>
                  </w:r>
                </w:p>
              </w:tc>
              <w:tc>
                <w:tcPr>
                  <w:tcW w:w="925" w:type="dxa"/>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mg/m</w:t>
                  </w:r>
                  <w:r>
                    <w:rPr>
                      <w:rFonts w:hint="default" w:ascii="Times New Roman" w:hAnsi="Times New Roman" w:eastAsia="宋体" w:cs="Times New Roman"/>
                      <w:b w:val="0"/>
                      <w:bCs/>
                      <w:color w:val="auto"/>
                      <w:sz w:val="21"/>
                      <w:szCs w:val="21"/>
                      <w:vertAlign w:val="superscript"/>
                      <w:lang w:val="en-US" w:eastAsia="zh-CN"/>
                    </w:rPr>
                    <w:t>3</w:t>
                  </w:r>
                </w:p>
              </w:tc>
              <w:tc>
                <w:tcPr>
                  <w:tcW w:w="130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1328"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130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ND</w:t>
                  </w:r>
                </w:p>
              </w:tc>
              <w:tc>
                <w:tcPr>
                  <w:tcW w:w="1414" w:type="dxa"/>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 w:val="0"/>
                      <w:bCs/>
                      <w:kern w:val="2"/>
                      <w:sz w:val="21"/>
                      <w:szCs w:val="21"/>
                      <w:vertAlign w:val="baseline"/>
                      <w:lang w:val="en-US" w:eastAsia="zh-CN" w:bidi="ar-SA"/>
                    </w:rPr>
                  </w:pPr>
                  <w:r>
                    <w:rPr>
                      <w:rFonts w:hint="default" w:ascii="Times New Roman" w:hAnsi="Times New Roman" w:eastAsia="宋体" w:cs="Times New Roman"/>
                      <w:b w:val="0"/>
                      <w:bCs/>
                      <w:sz w:val="21"/>
                      <w:szCs w:val="21"/>
                      <w:vertAlign w:val="baseline"/>
                      <w:lang w:val="en-US" w:eastAsia="zh-CN"/>
                    </w:rPr>
                    <w:t>1.5</w:t>
                  </w:r>
                </w:p>
              </w:tc>
            </w:tr>
          </w:tbl>
          <w:p>
            <w:pPr>
              <w:pStyle w:val="2"/>
              <w:numPr>
                <w:ilvl w:val="0"/>
                <w:numId w:val="0"/>
              </w:numPr>
              <w:spacing w:line="360" w:lineRule="auto"/>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color w:val="000000"/>
                <w:sz w:val="24"/>
                <w:szCs w:val="24"/>
                <w:lang w:val="en-US" w:eastAsia="zh-CN" w:bidi="ar-SA"/>
              </w:rPr>
              <w:t>②</w:t>
            </w:r>
            <w:r>
              <w:rPr>
                <w:rFonts w:hint="default" w:ascii="Times New Roman" w:hAnsi="Times New Roman" w:eastAsia="宋体" w:cs="Times New Roman"/>
                <w:b w:val="0"/>
                <w:bCs/>
                <w:lang w:val="en-US" w:eastAsia="zh-CN"/>
              </w:rPr>
              <w:t>无组织废气</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建设项目</w:t>
            </w:r>
            <w:r>
              <w:rPr>
                <w:rFonts w:hint="default" w:ascii="Times New Roman" w:hAnsi="Times New Roman" w:eastAsia="宋体" w:cs="Times New Roman"/>
                <w:sz w:val="24"/>
                <w:lang w:val="en-US" w:eastAsia="zh-CN"/>
              </w:rPr>
              <w:t>无</w:t>
            </w:r>
            <w:r>
              <w:rPr>
                <w:rFonts w:hint="default" w:ascii="Times New Roman" w:hAnsi="Times New Roman" w:eastAsia="宋体" w:cs="Times New Roman"/>
                <w:sz w:val="24"/>
              </w:rPr>
              <w:t>组织废气检测结果见表</w:t>
            </w:r>
            <w:r>
              <w:rPr>
                <w:rFonts w:hint="default" w:ascii="Times New Roman" w:hAnsi="Times New Roman" w:eastAsia="宋体" w:cs="Times New Roman"/>
                <w:sz w:val="24"/>
                <w:lang w:val="en-US" w:eastAsia="zh-CN"/>
              </w:rPr>
              <w:t>7-3~7-</w:t>
            </w:r>
            <w:r>
              <w:rPr>
                <w:rFonts w:hint="eastAsia" w:ascii="Times New Roman" w:hAnsi="Times New Roman" w:eastAsia="宋体" w:cs="Times New Roman"/>
                <w:sz w:val="24"/>
                <w:lang w:val="en-US" w:eastAsia="zh-CN"/>
              </w:rPr>
              <w:t>6</w:t>
            </w:r>
            <w:r>
              <w:rPr>
                <w:rFonts w:hint="default" w:ascii="Times New Roman" w:hAnsi="Times New Roman" w:eastAsia="宋体" w:cs="Times New Roman"/>
                <w:sz w:val="24"/>
              </w:rPr>
              <w:t>。</w:t>
            </w:r>
          </w:p>
          <w:p>
            <w:pPr>
              <w:pStyle w:val="2"/>
              <w:spacing w:line="240" w:lineRule="auto"/>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表7-3  </w:t>
            </w:r>
            <w:r>
              <w:rPr>
                <w:rFonts w:hint="default" w:ascii="Times New Roman" w:hAnsi="Times New Roman" w:cs="Times New Roman"/>
                <w:sz w:val="21"/>
                <w:szCs w:val="21"/>
              </w:rPr>
              <w:t>无组织排放废气监测结果表</w:t>
            </w:r>
          </w:p>
          <w:tbl>
            <w:tblPr>
              <w:tblStyle w:val="21"/>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15"/>
              <w:gridCol w:w="907"/>
              <w:gridCol w:w="794"/>
              <w:gridCol w:w="1161"/>
              <w:gridCol w:w="1161"/>
              <w:gridCol w:w="1156"/>
              <w:gridCol w:w="1161"/>
              <w:gridCol w:w="82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rPr>
                  </w:pPr>
                  <w:r>
                    <w:rPr>
                      <w:rFonts w:hint="default" w:ascii="Times New Roman" w:hAnsi="Times New Roman" w:eastAsia="宋体" w:cs="Times New Roman"/>
                      <w:b/>
                      <w:bCs/>
                      <w:sz w:val="21"/>
                      <w:szCs w:val="21"/>
                      <w:vertAlign w:val="baseline"/>
                      <w:lang w:eastAsia="zh-CN"/>
                    </w:rPr>
                    <w:t>采</w:t>
                  </w:r>
                  <w:r>
                    <w:rPr>
                      <w:rFonts w:hint="default" w:ascii="Times New Roman" w:hAnsi="Times New Roman" w:eastAsia="宋体" w:cs="Times New Roman"/>
                      <w:b/>
                      <w:bCs/>
                      <w:sz w:val="21"/>
                      <w:szCs w:val="21"/>
                      <w:vertAlign w:val="baseline"/>
                      <w:lang w:val="en-US" w:eastAsia="zh-CN"/>
                    </w:rPr>
                    <w:t>样</w:t>
                  </w:r>
                  <w:r>
                    <w:rPr>
                      <w:rFonts w:hint="default" w:ascii="Times New Roman" w:hAnsi="Times New Roman" w:eastAsia="宋体" w:cs="Times New Roman"/>
                      <w:b/>
                      <w:bCs/>
                      <w:sz w:val="21"/>
                      <w:szCs w:val="21"/>
                      <w:vertAlign w:val="baseline"/>
                      <w:lang w:eastAsia="zh-CN"/>
                    </w:rPr>
                    <w:t>日期</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val="en-US"/>
                    </w:rPr>
                  </w:pPr>
                  <w:r>
                    <w:rPr>
                      <w:rFonts w:hint="eastAsia" w:ascii="Times New Roman" w:hAnsi="Times New Roman" w:eastAsia="宋体" w:cs="Times New Roman"/>
                      <w:b/>
                      <w:bCs/>
                      <w:sz w:val="21"/>
                      <w:szCs w:val="21"/>
                      <w:vertAlign w:val="baseline"/>
                      <w:lang w:val="en-US" w:eastAsia="zh-CN"/>
                    </w:rPr>
                    <w:t>2023.12.18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r>
                    <w:rPr>
                      <w:rFonts w:hint="default" w:ascii="Times New Roman" w:hAnsi="Times New Roman" w:eastAsia="宋体" w:cs="Times New Roman"/>
                      <w:sz w:val="21"/>
                      <w:szCs w:val="21"/>
                      <w:vertAlign w:val="baseline"/>
                      <w:lang w:eastAsia="zh-CN"/>
                    </w:rPr>
                    <w:t>气象参数</w:t>
                  </w:r>
                </w:p>
              </w:tc>
              <w:tc>
                <w:tcPr>
                  <w:tcW w:w="43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风速</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sz w:val="21"/>
                      <w:szCs w:val="21"/>
                      <w:vertAlign w:val="baseline"/>
                      <w:lang w:val="en-US" w:eastAsia="zh-CN"/>
                    </w:rPr>
                    <w:t>4.5</w:t>
                  </w:r>
                  <w:r>
                    <w:rPr>
                      <w:rFonts w:hint="default" w:ascii="Times New Roman" w:hAnsi="Times New Roman" w:eastAsia="宋体" w:cs="Times New Roman"/>
                      <w:sz w:val="21"/>
                      <w:szCs w:val="21"/>
                      <w:vertAlign w:val="baseline"/>
                      <w:lang w:val="en-US" w:eastAsia="zh-CN"/>
                    </w:rPr>
                    <w:t>m/s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p>
              </w:tc>
              <w:tc>
                <w:tcPr>
                  <w:tcW w:w="43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风向</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北风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p>
              </w:tc>
              <w:tc>
                <w:tcPr>
                  <w:tcW w:w="43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天气</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多云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p>
              </w:tc>
              <w:tc>
                <w:tcPr>
                  <w:tcW w:w="43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气压</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102.7</w:t>
                  </w:r>
                  <w:r>
                    <w:rPr>
                      <w:rFonts w:hint="default" w:ascii="Times New Roman" w:hAnsi="Times New Roman" w:eastAsia="宋体" w:cs="Times New Roman"/>
                      <w:kern w:val="2"/>
                      <w:sz w:val="21"/>
                      <w:szCs w:val="21"/>
                      <w:vertAlign w:val="baseline"/>
                      <w:lang w:val="en-US" w:eastAsia="zh-CN" w:bidi="ar-SA"/>
                    </w:rPr>
                    <w:t>kPa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rPr>
                  </w:pPr>
                  <w:r>
                    <w:rPr>
                      <w:rFonts w:hint="default" w:ascii="Times New Roman" w:hAnsi="Times New Roman" w:eastAsia="宋体" w:cs="Times New Roman"/>
                      <w:b/>
                      <w:bCs/>
                      <w:sz w:val="21"/>
                      <w:szCs w:val="21"/>
                      <w:vertAlign w:val="baseline"/>
                      <w:lang w:eastAsia="zh-CN"/>
                    </w:rPr>
                    <w:t>检测项目</w:t>
                  </w: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r>
                    <w:rPr>
                      <w:rFonts w:hint="default" w:ascii="Times New Roman" w:hAnsi="Times New Roman" w:eastAsia="宋体" w:cs="Times New Roman"/>
                      <w:b/>
                      <w:bCs/>
                      <w:sz w:val="21"/>
                      <w:szCs w:val="21"/>
                      <w:vertAlign w:val="baseline"/>
                      <w:lang w:eastAsia="zh-CN"/>
                    </w:rPr>
                    <w:t>频次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单位</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上风向</w:t>
                  </w:r>
                  <w:r>
                    <w:rPr>
                      <w:rFonts w:hint="default" w:ascii="Times New Roman" w:hAnsi="Times New Roman" w:eastAsia="宋体" w:cs="Times New Roman"/>
                      <w:b/>
                      <w:bCs/>
                      <w:sz w:val="21"/>
                      <w:szCs w:val="21"/>
                      <w:vertAlign w:val="baseline"/>
                      <w:lang w:val="en-US" w:eastAsia="zh-CN"/>
                    </w:rPr>
                    <w:t>G1</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下风向</w:t>
                  </w:r>
                  <w:r>
                    <w:rPr>
                      <w:rFonts w:hint="default" w:ascii="Times New Roman" w:hAnsi="Times New Roman" w:eastAsia="宋体" w:cs="Times New Roman"/>
                      <w:b/>
                      <w:bCs/>
                      <w:sz w:val="21"/>
                      <w:szCs w:val="21"/>
                      <w:vertAlign w:val="baseline"/>
                      <w:lang w:val="en-US" w:eastAsia="zh-CN"/>
                    </w:rPr>
                    <w:t>G2</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下风向</w:t>
                  </w:r>
                  <w:r>
                    <w:rPr>
                      <w:rFonts w:hint="default" w:ascii="Times New Roman" w:hAnsi="Times New Roman" w:eastAsia="宋体" w:cs="Times New Roman"/>
                      <w:b/>
                      <w:bCs/>
                      <w:sz w:val="21"/>
                      <w:szCs w:val="21"/>
                      <w:vertAlign w:val="baseline"/>
                      <w:lang w:val="en-US" w:eastAsia="zh-CN"/>
                    </w:rPr>
                    <w:t>G3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下风向</w:t>
                  </w:r>
                  <w:r>
                    <w:rPr>
                      <w:rFonts w:hint="default" w:ascii="Times New Roman" w:hAnsi="Times New Roman" w:eastAsia="宋体" w:cs="Times New Roman"/>
                      <w:b/>
                      <w:bCs/>
                      <w:sz w:val="21"/>
                      <w:szCs w:val="21"/>
                      <w:vertAlign w:val="baseline"/>
                      <w:lang w:val="en-US" w:eastAsia="zh-CN"/>
                    </w:rPr>
                    <w:t>G4</w:t>
                  </w:r>
                </w:p>
              </w:tc>
              <w:tc>
                <w:tcPr>
                  <w:tcW w:w="49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参考标准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lang w:val="en-US"/>
                    </w:rPr>
                  </w:pPr>
                  <w:r>
                    <w:rPr>
                      <w:rFonts w:hint="default" w:ascii="Times New Roman" w:hAnsi="Times New Roman" w:cs="Times New Roman"/>
                      <w:snapToGrid w:val="0"/>
                      <w:kern w:val="0"/>
                      <w:sz w:val="21"/>
                      <w:szCs w:val="21"/>
                    </w:rPr>
                    <w:t>氮氧化物</w:t>
                  </w: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eastAsia="zh-CN"/>
                    </w:rPr>
                  </w:pPr>
                  <w:r>
                    <w:rPr>
                      <w:rFonts w:hint="default" w:ascii="Times New Roman" w:hAnsi="Times New Roman" w:eastAsia="宋体" w:cs="Times New Roman"/>
                      <w:b w:val="0"/>
                      <w:bCs w:val="0"/>
                      <w:sz w:val="21"/>
                      <w:szCs w:val="21"/>
                      <w:vertAlign w:val="baseline"/>
                      <w:lang w:eastAsia="zh-CN"/>
                    </w:rPr>
                    <w:t>第一次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kern w:val="2"/>
                      <w:sz w:val="21"/>
                      <w:szCs w:val="21"/>
                      <w:vertAlign w:val="baseline"/>
                      <w:lang w:val="en-US" w:eastAsia="zh-CN" w:bidi="ar-SA"/>
                    </w:rPr>
                    <w:t>0.032</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kern w:val="2"/>
                      <w:sz w:val="21"/>
                      <w:szCs w:val="21"/>
                      <w:vertAlign w:val="baseline"/>
                      <w:lang w:val="en-US" w:eastAsia="zh-CN" w:bidi="ar-SA"/>
                    </w:rPr>
                    <w:t>0.029</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0.032</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0.031</w:t>
                  </w:r>
                </w:p>
              </w:tc>
              <w:tc>
                <w:tcPr>
                  <w:tcW w:w="49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0.12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第二次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0.039</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0.036</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0.034</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0.028</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tl2br w:val="nil"/>
                    <w:tr2bl w:val="nil"/>
                  </w:tcBorders>
                  <w:noWrap w:val="0"/>
                  <w:vAlign w:val="center"/>
                </w:tcPr>
                <w:p>
                  <w:pPr>
                    <w:adjustRightInd w:val="0"/>
                    <w:snapToGrid w:val="0"/>
                    <w:jc w:val="center"/>
                    <w:rPr>
                      <w:rFonts w:hint="default" w:ascii="Times New Roman" w:hAnsi="Times New Roman" w:cs="Times New Roman" w:eastAsiaTheme="minorEastAsia"/>
                      <w:color w:val="000000"/>
                      <w:kern w:val="2"/>
                      <w:sz w:val="21"/>
                      <w:szCs w:val="21"/>
                      <w:lang w:val="en-US" w:eastAsia="zh-CN" w:bidi="ar-SA"/>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第三次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0.030</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0.031</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0.026</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0.029</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napToGrid w:val="0"/>
                      <w:kern w:val="0"/>
                      <w:sz w:val="21"/>
                      <w:szCs w:val="21"/>
                    </w:rPr>
                    <w:t>非甲烷总烃</w:t>
                  </w: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eastAsia="zh-CN"/>
                    </w:rPr>
                    <w:t>第一次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0.25</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0.25</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0.29</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0.27</w:t>
                  </w:r>
                </w:p>
              </w:tc>
              <w:tc>
                <w:tcPr>
                  <w:tcW w:w="49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第二次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0.26</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0.26</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0.32</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0.33</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tl2br w:val="nil"/>
                    <w:tr2bl w:val="nil"/>
                  </w:tcBorders>
                  <w:noWrap w:val="0"/>
                  <w:vAlign w:val="center"/>
                </w:tcPr>
                <w:p>
                  <w:pPr>
                    <w:adjustRightInd w:val="0"/>
                    <w:snapToGrid w:val="0"/>
                    <w:jc w:val="center"/>
                    <w:rPr>
                      <w:rFonts w:hint="default" w:ascii="Times New Roman" w:hAnsi="Times New Roman" w:cs="Times New Roman" w:eastAsiaTheme="minorEastAsia"/>
                      <w:color w:val="000000"/>
                      <w:kern w:val="2"/>
                      <w:sz w:val="21"/>
                      <w:szCs w:val="21"/>
                      <w:lang w:val="en-US" w:eastAsia="zh-CN" w:bidi="ar-SA"/>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第三次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0.28</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0.31</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0.28</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0.34</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napToGrid w:val="0"/>
                      <w:kern w:val="0"/>
                      <w:sz w:val="21"/>
                      <w:szCs w:val="21"/>
                    </w:rPr>
                    <w:t>甲醛</w:t>
                  </w: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eastAsia="zh-CN"/>
                    </w:rPr>
                    <w:t>第一次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第二次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adjustRightInd w:val="0"/>
                    <w:snapToGrid w:val="0"/>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snapToGrid w:val="0"/>
                      <w:kern w:val="0"/>
                      <w:sz w:val="21"/>
                      <w:szCs w:val="21"/>
                    </w:rPr>
                    <w:t>二硫化碳</w:t>
                  </w:r>
                </w:p>
              </w:tc>
              <w:tc>
                <w:tcPr>
                  <w:tcW w:w="547"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第三次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687" w:type="pct"/>
                  <w:gridSpan w:val="2"/>
                  <w:vMerge w:val="restart"/>
                  <w:tcBorders>
                    <w:right w:val="single" w:color="000000" w:sz="4" w:space="0"/>
                    <w:tl2br w:val="nil"/>
                    <w:tr2bl w:val="nil"/>
                  </w:tcBorders>
                  <w:noWrap w:val="0"/>
                  <w:vAlign w:val="center"/>
                </w:tcPr>
                <w:p>
                  <w:pPr>
                    <w:adjustRightInd w:val="0"/>
                    <w:snapToGrid w:val="0"/>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snapToGrid w:val="0"/>
                      <w:kern w:val="0"/>
                      <w:sz w:val="21"/>
                      <w:szCs w:val="21"/>
                    </w:rPr>
                    <w:t>硫酸雾</w:t>
                  </w:r>
                </w:p>
              </w:tc>
              <w:tc>
                <w:tcPr>
                  <w:tcW w:w="547"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sz w:val="21"/>
                      <w:szCs w:val="21"/>
                      <w:vertAlign w:val="baseline"/>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snapToGrid w:val="0"/>
                      <w:kern w:val="0"/>
                      <w:sz w:val="21"/>
                      <w:szCs w:val="21"/>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eastAsiaTheme="minorEastAsia"/>
                      <w:snapToGrid w:val="0"/>
                      <w:kern w:val="0"/>
                      <w:sz w:val="21"/>
                      <w:szCs w:val="21"/>
                      <w:lang w:val="en-US" w:eastAsia="zh-CN"/>
                    </w:rPr>
                  </w:pPr>
                  <w:r>
                    <w:rPr>
                      <w:rFonts w:hint="default" w:ascii="Times New Roman" w:hAnsi="Times New Roman" w:cs="Times New Roman"/>
                      <w:snapToGrid w:val="0"/>
                      <w:kern w:val="0"/>
                      <w:sz w:val="21"/>
                      <w:szCs w:val="21"/>
                      <w:lang w:val="en-US" w:eastAsia="zh-CN"/>
                    </w:rPr>
                    <w:t>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87" w:type="pct"/>
                  <w:gridSpan w:val="2"/>
                  <w:vMerge w:val="continue"/>
                  <w:tcBorders>
                    <w:righ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p>
              </w:tc>
              <w:tc>
                <w:tcPr>
                  <w:tcW w:w="547"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sz w:val="21"/>
                      <w:szCs w:val="21"/>
                      <w:vertAlign w:val="baseline"/>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sz w:val="21"/>
                      <w:szCs w:val="21"/>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87" w:type="pct"/>
                  <w:gridSpan w:val="2"/>
                  <w:vMerge w:val="continue"/>
                  <w:tcBorders>
                    <w:righ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p>
              </w:tc>
              <w:tc>
                <w:tcPr>
                  <w:tcW w:w="547"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sz w:val="21"/>
                      <w:szCs w:val="21"/>
                      <w:vertAlign w:val="baseline"/>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snapToGrid w:val="0"/>
                      <w:kern w:val="0"/>
                      <w:sz w:val="21"/>
                      <w:szCs w:val="21"/>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四氯乙烯</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0.0034</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0.0037</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0.0512</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0.16</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0.0069</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0.0032</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0.0041</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0.0048</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0.006</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0.0413</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0.0464</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0.00768</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氯化氢</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三氯甲烷</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0.0006</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0.0006</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0.0228</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0.272</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0.0005</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0.0006</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0.0007</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0.0010</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0.0006</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0.0263</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0.0231</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0.0035</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氯气</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二硫化碳</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氨</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0.01</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0.03</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9"/>
                  <w:tcBorders>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参考标准：《江苏省大气污染物综合排放标准》DB32/4041-2021中表3标准；</w:t>
                  </w:r>
                  <w:r>
                    <w:rPr>
                      <w:rFonts w:hint="default" w:ascii="Times New Roman" w:hAnsi="Times New Roman" w:cs="Times New Roman"/>
                      <w:color w:val="000000"/>
                      <w:szCs w:val="21"/>
                    </w:rPr>
                    <w:t>《恶臭污染物排放标准》（GB14554-93）表1以及表2标准</w:t>
                  </w:r>
                  <w:r>
                    <w:rPr>
                      <w:rFonts w:hint="default" w:ascii="Times New Roman" w:hAnsi="Times New Roman" w:cs="Times New Roman"/>
                      <w:color w:val="000000"/>
                      <w:szCs w:val="21"/>
                      <w:lang w:eastAsia="zh-CN"/>
                    </w:rPr>
                    <w:t>。</w:t>
                  </w:r>
                </w:p>
              </w:tc>
            </w:tr>
          </w:tbl>
          <w:p>
            <w:pPr>
              <w:pStyle w:val="2"/>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 xml:space="preserve">表7-4  </w:t>
            </w:r>
            <w:r>
              <w:rPr>
                <w:rFonts w:hint="default" w:ascii="Times New Roman" w:hAnsi="Times New Roman" w:eastAsia="宋体" w:cs="Times New Roman"/>
                <w:b/>
                <w:bCs/>
                <w:sz w:val="21"/>
                <w:szCs w:val="21"/>
              </w:rPr>
              <w:t>无组织排放废气监测结果表</w:t>
            </w:r>
          </w:p>
          <w:tbl>
            <w:tblPr>
              <w:tblStyle w:val="21"/>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15"/>
              <w:gridCol w:w="907"/>
              <w:gridCol w:w="794"/>
              <w:gridCol w:w="1161"/>
              <w:gridCol w:w="1161"/>
              <w:gridCol w:w="1156"/>
              <w:gridCol w:w="1161"/>
              <w:gridCol w:w="82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rPr>
                  </w:pPr>
                  <w:r>
                    <w:rPr>
                      <w:rFonts w:hint="default" w:ascii="Times New Roman" w:hAnsi="Times New Roman" w:eastAsia="宋体" w:cs="Times New Roman"/>
                      <w:b/>
                      <w:bCs/>
                      <w:sz w:val="21"/>
                      <w:szCs w:val="21"/>
                      <w:vertAlign w:val="baseline"/>
                      <w:lang w:eastAsia="zh-CN"/>
                    </w:rPr>
                    <w:t>采</w:t>
                  </w:r>
                  <w:r>
                    <w:rPr>
                      <w:rFonts w:hint="default" w:ascii="Times New Roman" w:hAnsi="Times New Roman" w:eastAsia="宋体" w:cs="Times New Roman"/>
                      <w:b/>
                      <w:bCs/>
                      <w:sz w:val="21"/>
                      <w:szCs w:val="21"/>
                      <w:vertAlign w:val="baseline"/>
                      <w:lang w:val="en-US" w:eastAsia="zh-CN"/>
                    </w:rPr>
                    <w:t>样</w:t>
                  </w:r>
                  <w:r>
                    <w:rPr>
                      <w:rFonts w:hint="default" w:ascii="Times New Roman" w:hAnsi="Times New Roman" w:eastAsia="宋体" w:cs="Times New Roman"/>
                      <w:b/>
                      <w:bCs/>
                      <w:sz w:val="21"/>
                      <w:szCs w:val="21"/>
                      <w:vertAlign w:val="baseline"/>
                      <w:lang w:eastAsia="zh-CN"/>
                    </w:rPr>
                    <w:t>日期</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2023.12.19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r>
                    <w:rPr>
                      <w:rFonts w:hint="default" w:ascii="Times New Roman" w:hAnsi="Times New Roman" w:eastAsia="宋体" w:cs="Times New Roman"/>
                      <w:sz w:val="21"/>
                      <w:szCs w:val="21"/>
                      <w:vertAlign w:val="baseline"/>
                      <w:lang w:eastAsia="zh-CN"/>
                    </w:rPr>
                    <w:t>气象参数</w:t>
                  </w:r>
                </w:p>
              </w:tc>
              <w:tc>
                <w:tcPr>
                  <w:tcW w:w="43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风速</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sz w:val="21"/>
                      <w:szCs w:val="21"/>
                      <w:vertAlign w:val="baseline"/>
                      <w:lang w:val="en-US" w:eastAsia="zh-CN"/>
                    </w:rPr>
                    <w:t>4.5</w:t>
                  </w:r>
                  <w:r>
                    <w:rPr>
                      <w:rFonts w:hint="default" w:ascii="Times New Roman" w:hAnsi="Times New Roman" w:eastAsia="宋体" w:cs="Times New Roman"/>
                      <w:sz w:val="21"/>
                      <w:szCs w:val="21"/>
                      <w:vertAlign w:val="baseline"/>
                      <w:lang w:val="en-US" w:eastAsia="zh-CN"/>
                    </w:rPr>
                    <w:t>m/s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p>
              </w:tc>
              <w:tc>
                <w:tcPr>
                  <w:tcW w:w="43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风向</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西北风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p>
              </w:tc>
              <w:tc>
                <w:tcPr>
                  <w:tcW w:w="43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天气</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多云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p>
              </w:tc>
              <w:tc>
                <w:tcPr>
                  <w:tcW w:w="43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气压</w:t>
                  </w:r>
                </w:p>
              </w:tc>
              <w:tc>
                <w:tcPr>
                  <w:tcW w:w="4312"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103.1</w:t>
                  </w:r>
                  <w:r>
                    <w:rPr>
                      <w:rFonts w:hint="default" w:ascii="Times New Roman" w:hAnsi="Times New Roman" w:eastAsia="宋体" w:cs="Times New Roman"/>
                      <w:kern w:val="2"/>
                      <w:sz w:val="21"/>
                      <w:szCs w:val="21"/>
                      <w:vertAlign w:val="baseline"/>
                      <w:lang w:val="en-US" w:eastAsia="zh-CN" w:bidi="ar-SA"/>
                    </w:rPr>
                    <w:t>kPa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rPr>
                  </w:pPr>
                  <w:r>
                    <w:rPr>
                      <w:rFonts w:hint="default" w:ascii="Times New Roman" w:hAnsi="Times New Roman" w:eastAsia="宋体" w:cs="Times New Roman"/>
                      <w:b/>
                      <w:bCs/>
                      <w:sz w:val="21"/>
                      <w:szCs w:val="21"/>
                      <w:vertAlign w:val="baseline"/>
                      <w:lang w:eastAsia="zh-CN"/>
                    </w:rPr>
                    <w:t>检测项目</w:t>
                  </w: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eastAsia="zh-CN"/>
                    </w:rPr>
                  </w:pPr>
                  <w:r>
                    <w:rPr>
                      <w:rFonts w:hint="default" w:ascii="Times New Roman" w:hAnsi="Times New Roman" w:eastAsia="宋体" w:cs="Times New Roman"/>
                      <w:b/>
                      <w:bCs/>
                      <w:sz w:val="21"/>
                      <w:szCs w:val="21"/>
                      <w:vertAlign w:val="baseline"/>
                      <w:lang w:eastAsia="zh-CN"/>
                    </w:rPr>
                    <w:t>频次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单位</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上风向</w:t>
                  </w:r>
                  <w:r>
                    <w:rPr>
                      <w:rFonts w:hint="default" w:ascii="Times New Roman" w:hAnsi="Times New Roman" w:eastAsia="宋体" w:cs="Times New Roman"/>
                      <w:b/>
                      <w:bCs/>
                      <w:sz w:val="21"/>
                      <w:szCs w:val="21"/>
                      <w:vertAlign w:val="baseline"/>
                      <w:lang w:val="en-US" w:eastAsia="zh-CN"/>
                    </w:rPr>
                    <w:t>G1</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下风向</w:t>
                  </w:r>
                  <w:r>
                    <w:rPr>
                      <w:rFonts w:hint="default" w:ascii="Times New Roman" w:hAnsi="Times New Roman" w:eastAsia="宋体" w:cs="Times New Roman"/>
                      <w:b/>
                      <w:bCs/>
                      <w:sz w:val="21"/>
                      <w:szCs w:val="21"/>
                      <w:vertAlign w:val="baseline"/>
                      <w:lang w:val="en-US" w:eastAsia="zh-CN"/>
                    </w:rPr>
                    <w:t>G2</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下风向</w:t>
                  </w:r>
                  <w:r>
                    <w:rPr>
                      <w:rFonts w:hint="default" w:ascii="Times New Roman" w:hAnsi="Times New Roman" w:eastAsia="宋体" w:cs="Times New Roman"/>
                      <w:b/>
                      <w:bCs/>
                      <w:sz w:val="21"/>
                      <w:szCs w:val="21"/>
                      <w:vertAlign w:val="baseline"/>
                      <w:lang w:val="en-US" w:eastAsia="zh-CN"/>
                    </w:rPr>
                    <w:t>G3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下风向</w:t>
                  </w:r>
                  <w:r>
                    <w:rPr>
                      <w:rFonts w:hint="default" w:ascii="Times New Roman" w:hAnsi="Times New Roman" w:eastAsia="宋体" w:cs="Times New Roman"/>
                      <w:b/>
                      <w:bCs/>
                      <w:sz w:val="21"/>
                      <w:szCs w:val="21"/>
                      <w:vertAlign w:val="baseline"/>
                      <w:lang w:val="en-US" w:eastAsia="zh-CN"/>
                    </w:rPr>
                    <w:t>G4</w:t>
                  </w:r>
                </w:p>
              </w:tc>
              <w:tc>
                <w:tcPr>
                  <w:tcW w:w="49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参考标准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lang w:val="en-US"/>
                    </w:rPr>
                  </w:pPr>
                  <w:r>
                    <w:rPr>
                      <w:rFonts w:hint="default" w:ascii="Times New Roman" w:hAnsi="Times New Roman" w:cs="Times New Roman"/>
                      <w:snapToGrid w:val="0"/>
                      <w:kern w:val="0"/>
                      <w:sz w:val="21"/>
                      <w:szCs w:val="21"/>
                    </w:rPr>
                    <w:t>氮氧化物</w:t>
                  </w: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eastAsia="zh-CN"/>
                    </w:rPr>
                  </w:pPr>
                  <w:r>
                    <w:rPr>
                      <w:rFonts w:hint="default" w:ascii="Times New Roman" w:hAnsi="Times New Roman" w:eastAsia="宋体" w:cs="Times New Roman"/>
                      <w:b w:val="0"/>
                      <w:bCs w:val="0"/>
                      <w:sz w:val="21"/>
                      <w:szCs w:val="21"/>
                      <w:vertAlign w:val="baseline"/>
                      <w:lang w:eastAsia="zh-CN"/>
                    </w:rPr>
                    <w:t>第一次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kern w:val="2"/>
                      <w:sz w:val="21"/>
                      <w:szCs w:val="21"/>
                      <w:vertAlign w:val="baseline"/>
                      <w:lang w:val="en-US" w:eastAsia="zh-CN" w:bidi="ar-SA"/>
                    </w:rPr>
                    <w:t>0.046</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kern w:val="2"/>
                      <w:sz w:val="21"/>
                      <w:szCs w:val="21"/>
                      <w:vertAlign w:val="baseline"/>
                      <w:lang w:val="en-US" w:eastAsia="zh-CN" w:bidi="ar-SA"/>
                    </w:rPr>
                    <w:t>0.038</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0.038</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0.026</w:t>
                  </w:r>
                </w:p>
              </w:tc>
              <w:tc>
                <w:tcPr>
                  <w:tcW w:w="49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0.12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第二次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0.045</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0.038</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0.038</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0.033</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tl2br w:val="nil"/>
                    <w:tr2bl w:val="nil"/>
                  </w:tcBorders>
                  <w:noWrap w:val="0"/>
                  <w:vAlign w:val="center"/>
                </w:tcPr>
                <w:p>
                  <w:pPr>
                    <w:adjustRightInd w:val="0"/>
                    <w:snapToGrid w:val="0"/>
                    <w:jc w:val="center"/>
                    <w:rPr>
                      <w:rFonts w:hint="default" w:ascii="Times New Roman" w:hAnsi="Times New Roman" w:cs="Times New Roman" w:eastAsiaTheme="minorEastAsia"/>
                      <w:color w:val="000000"/>
                      <w:kern w:val="2"/>
                      <w:sz w:val="21"/>
                      <w:szCs w:val="21"/>
                      <w:lang w:val="en-US" w:eastAsia="zh-CN" w:bidi="ar-SA"/>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第三次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0.048</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0.034</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0.029</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0.038</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napToGrid w:val="0"/>
                      <w:kern w:val="0"/>
                      <w:sz w:val="21"/>
                      <w:szCs w:val="21"/>
                    </w:rPr>
                    <w:t>非甲烷总烃</w:t>
                  </w: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eastAsia="zh-CN"/>
                    </w:rPr>
                    <w:t>第一次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0.24</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0.27</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0.21</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0.33</w:t>
                  </w:r>
                </w:p>
              </w:tc>
              <w:tc>
                <w:tcPr>
                  <w:tcW w:w="49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第二次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0.21</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0.22</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0.21</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0.29</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tl2br w:val="nil"/>
                    <w:tr2bl w:val="nil"/>
                  </w:tcBorders>
                  <w:noWrap w:val="0"/>
                  <w:vAlign w:val="center"/>
                </w:tcPr>
                <w:p>
                  <w:pPr>
                    <w:adjustRightInd w:val="0"/>
                    <w:snapToGrid w:val="0"/>
                    <w:jc w:val="center"/>
                    <w:rPr>
                      <w:rFonts w:hint="default" w:ascii="Times New Roman" w:hAnsi="Times New Roman" w:cs="Times New Roman" w:eastAsiaTheme="minorEastAsia"/>
                      <w:color w:val="000000"/>
                      <w:kern w:val="2"/>
                      <w:sz w:val="21"/>
                      <w:szCs w:val="21"/>
                      <w:lang w:val="en-US" w:eastAsia="zh-CN" w:bidi="ar-SA"/>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第三次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0.20</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0.19</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0.27</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0.30</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napToGrid w:val="0"/>
                      <w:kern w:val="0"/>
                      <w:sz w:val="21"/>
                      <w:szCs w:val="21"/>
                    </w:rPr>
                    <w:t>甲醛</w:t>
                  </w: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eastAsia="zh-CN"/>
                    </w:rPr>
                    <w:t>第一次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rPr>
                  </w:pPr>
                </w:p>
              </w:tc>
              <w:tc>
                <w:tcPr>
                  <w:tcW w:w="54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第二次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adjustRightInd w:val="0"/>
                    <w:snapToGrid w:val="0"/>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snapToGrid w:val="0"/>
                      <w:kern w:val="0"/>
                      <w:sz w:val="21"/>
                      <w:szCs w:val="21"/>
                    </w:rPr>
                    <w:t>二硫化碳</w:t>
                  </w:r>
                </w:p>
              </w:tc>
              <w:tc>
                <w:tcPr>
                  <w:tcW w:w="547"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第三次</w:t>
                  </w:r>
                </w:p>
              </w:tc>
              <w:tc>
                <w:tcPr>
                  <w:tcW w:w="4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sz w:val="21"/>
                      <w:szCs w:val="21"/>
                      <w:vertAlign w:val="baseli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687" w:type="pct"/>
                  <w:gridSpan w:val="2"/>
                  <w:vMerge w:val="restart"/>
                  <w:tcBorders>
                    <w:right w:val="single" w:color="000000" w:sz="4" w:space="0"/>
                    <w:tl2br w:val="nil"/>
                    <w:tr2bl w:val="nil"/>
                  </w:tcBorders>
                  <w:noWrap w:val="0"/>
                  <w:vAlign w:val="center"/>
                </w:tcPr>
                <w:p>
                  <w:pPr>
                    <w:adjustRightInd w:val="0"/>
                    <w:snapToGrid w:val="0"/>
                    <w:jc w:val="center"/>
                    <w:rPr>
                      <w:rFonts w:hint="default" w:ascii="Times New Roman" w:hAnsi="Times New Roman" w:cs="Times New Roman" w:eastAsiaTheme="minorEastAsia"/>
                      <w:color w:val="000000"/>
                      <w:kern w:val="2"/>
                      <w:sz w:val="21"/>
                      <w:szCs w:val="21"/>
                      <w:lang w:val="en-US" w:eastAsia="zh-CN" w:bidi="ar-SA"/>
                    </w:rPr>
                  </w:pPr>
                  <w:r>
                    <w:rPr>
                      <w:rFonts w:hint="default" w:ascii="Times New Roman" w:hAnsi="Times New Roman" w:cs="Times New Roman"/>
                      <w:snapToGrid w:val="0"/>
                      <w:kern w:val="0"/>
                      <w:sz w:val="21"/>
                      <w:szCs w:val="21"/>
                    </w:rPr>
                    <w:t>硫酸雾</w:t>
                  </w:r>
                </w:p>
              </w:tc>
              <w:tc>
                <w:tcPr>
                  <w:tcW w:w="547"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sz w:val="21"/>
                      <w:szCs w:val="21"/>
                      <w:vertAlign w:val="baseline"/>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snapToGrid w:val="0"/>
                      <w:kern w:val="0"/>
                      <w:sz w:val="21"/>
                      <w:szCs w:val="21"/>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eastAsiaTheme="minorEastAsia"/>
                      <w:snapToGrid w:val="0"/>
                      <w:kern w:val="0"/>
                      <w:sz w:val="21"/>
                      <w:szCs w:val="21"/>
                      <w:lang w:val="en-US" w:eastAsia="zh-CN"/>
                    </w:rPr>
                  </w:pPr>
                  <w:r>
                    <w:rPr>
                      <w:rFonts w:hint="default" w:ascii="Times New Roman" w:hAnsi="Times New Roman" w:cs="Times New Roman"/>
                      <w:snapToGrid w:val="0"/>
                      <w:kern w:val="0"/>
                      <w:sz w:val="21"/>
                      <w:szCs w:val="21"/>
                      <w:lang w:val="en-US" w:eastAsia="zh-CN"/>
                    </w:rPr>
                    <w:t>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87" w:type="pct"/>
                  <w:gridSpan w:val="2"/>
                  <w:vMerge w:val="continue"/>
                  <w:tcBorders>
                    <w:righ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p>
              </w:tc>
              <w:tc>
                <w:tcPr>
                  <w:tcW w:w="547"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sz w:val="21"/>
                      <w:szCs w:val="21"/>
                      <w:vertAlign w:val="baseline"/>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sz w:val="21"/>
                      <w:szCs w:val="21"/>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687" w:type="pct"/>
                  <w:gridSpan w:val="2"/>
                  <w:vMerge w:val="continue"/>
                  <w:tcBorders>
                    <w:righ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p>
              </w:tc>
              <w:tc>
                <w:tcPr>
                  <w:tcW w:w="547"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sz w:val="21"/>
                      <w:szCs w:val="21"/>
                      <w:vertAlign w:val="baseline"/>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snapToGrid w:val="0"/>
                      <w:kern w:val="0"/>
                      <w:sz w:val="21"/>
                      <w:szCs w:val="21"/>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adjustRightInd w:val="0"/>
                    <w:snapToGrid w:val="0"/>
                    <w:jc w:val="center"/>
                    <w:rPr>
                      <w:rFonts w:hint="default" w:ascii="Times New Roman" w:hAnsi="Times New Roman" w:cs="Times New Roman"/>
                      <w:snapToGrid w:val="0"/>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四氯乙烯</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0.0019</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0.0059</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0.0031</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0.0233</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0.0235</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0.0061</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0.0049</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0.0035</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0.0030</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0.0046</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0.0031</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0.0032</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氯化氢</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三氯甲烷</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0.0007</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0.0028</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0.0008</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0.0186</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0.0207</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0.0025</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0.0007</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0.0007</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0.0009</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0.0009</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0.0008</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0.0011</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氯气</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二硫化碳</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rPr>
                  </w:pPr>
                  <w:r>
                    <w:rPr>
                      <w:rFonts w:hint="eastAsia" w:ascii="Times New Roman" w:hAnsi="Times New Roman" w:eastAsia="宋体" w:cs="Times New Roman"/>
                      <w:b w:val="0"/>
                      <w:bCs w:val="0"/>
                      <w:sz w:val="21"/>
                      <w:szCs w:val="21"/>
                      <w:vertAlign w:val="baseline"/>
                      <w:lang w:val="en-US" w:eastAsia="zh-CN"/>
                    </w:rPr>
                    <w:t>ND</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687" w:type="pct"/>
                  <w:gridSpan w:val="2"/>
                  <w:vMerge w:val="restart"/>
                  <w:tcBorders>
                    <w:righ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rPr>
                    <w:t>氨</w:t>
                  </w: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eastAsia="zh-CN"/>
                    </w:rPr>
                    <w:t>第一次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0.01</w:t>
                  </w:r>
                </w:p>
              </w:tc>
              <w:tc>
                <w:tcPr>
                  <w:tcW w:w="493" w:type="pct"/>
                  <w:vMerge w:val="restar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第二次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0.01</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7" w:type="pct"/>
                  <w:gridSpan w:val="2"/>
                  <w:vMerge w:val="continue"/>
                  <w:tcBorders>
                    <w:right w:val="single" w:color="000000" w:sz="4" w:space="0"/>
                    <w:tl2br w:val="nil"/>
                    <w:tr2bl w:val="nil"/>
                  </w:tcBorders>
                  <w:noWrap w:val="0"/>
                  <w:vAlign w:val="center"/>
                </w:tcPr>
                <w:p>
                  <w:pPr>
                    <w:bidi w:val="0"/>
                    <w:jc w:val="center"/>
                    <w:rPr>
                      <w:rFonts w:hint="default" w:ascii="Times New Roman" w:hAnsi="Times New Roman" w:cs="Times New Roman"/>
                    </w:rPr>
                  </w:pPr>
                </w:p>
              </w:tc>
              <w:tc>
                <w:tcPr>
                  <w:tcW w:w="547" w:type="pct"/>
                  <w:tcBorders>
                    <w:left w:val="single" w:color="000000" w:sz="4" w:space="0"/>
                    <w:tl2br w:val="nil"/>
                    <w:tr2bl w:val="nil"/>
                  </w:tcBorders>
                  <w:noWrap w:val="0"/>
                  <w:vAlign w:val="center"/>
                </w:tcPr>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第三次</w:t>
                  </w:r>
                </w:p>
              </w:tc>
              <w:tc>
                <w:tcPr>
                  <w:tcW w:w="478" w:type="pct"/>
                  <w:tcBorders>
                    <w:lef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0.02</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0.03</w:t>
                  </w:r>
                </w:p>
              </w:tc>
              <w:tc>
                <w:tcPr>
                  <w:tcW w:w="696"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0.03</w:t>
                  </w:r>
                </w:p>
              </w:tc>
              <w:tc>
                <w:tcPr>
                  <w:tcW w:w="699" w:type="pct"/>
                  <w:tcBorders>
                    <w:left w:val="single" w:color="000000" w:sz="4" w:space="0"/>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0.03</w:t>
                  </w:r>
                </w:p>
              </w:tc>
              <w:tc>
                <w:tcPr>
                  <w:tcW w:w="493" w:type="pct"/>
                  <w:vMerge w:val="continue"/>
                  <w:tcBorders>
                    <w:left w:val="single" w:color="000000" w:sz="4" w:space="0"/>
                    <w:tl2br w:val="nil"/>
                    <w:tr2bl w:val="nil"/>
                  </w:tcBorders>
                  <w:noWrap w:val="0"/>
                  <w:vAlign w:val="center"/>
                </w:tcPr>
                <w:p>
                  <w:pPr>
                    <w:bidi w:val="0"/>
                    <w:jc w:val="center"/>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5000" w:type="pct"/>
                  <w:gridSpan w:val="9"/>
                  <w:tcBorders>
                    <w:tl2br w:val="nil"/>
                    <w:tr2bl w:val="nil"/>
                  </w:tcBorders>
                  <w:noWrap w:val="0"/>
                  <w:vAlign w:val="center"/>
                </w:tcPr>
                <w:p>
                  <w:pPr>
                    <w:bidi w:val="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参考标准：《江苏省大气污染物综合排放标准》DB32/4041-2021中表3标准；</w:t>
                  </w:r>
                  <w:r>
                    <w:rPr>
                      <w:rFonts w:hint="default" w:ascii="Times New Roman" w:hAnsi="Times New Roman" w:cs="Times New Roman"/>
                      <w:color w:val="000000"/>
                      <w:szCs w:val="21"/>
                    </w:rPr>
                    <w:t>《恶臭污染物排放标准》（GB14554-93）表1以及表2标准</w:t>
                  </w:r>
                  <w:r>
                    <w:rPr>
                      <w:rFonts w:hint="default" w:ascii="Times New Roman" w:hAnsi="Times New Roman" w:cs="Times New Roman"/>
                      <w:color w:val="000000"/>
                      <w:szCs w:val="21"/>
                      <w:lang w:eastAsia="zh-CN"/>
                    </w:rPr>
                    <w:t>。</w:t>
                  </w:r>
                </w:p>
              </w:tc>
            </w:tr>
          </w:tbl>
          <w:p>
            <w:pPr>
              <w:pStyle w:val="2"/>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表7-</w:t>
            </w:r>
            <w:r>
              <w:rPr>
                <w:rFonts w:hint="eastAsia" w:ascii="Times New Roman" w:hAnsi="Times New Roman" w:cs="Times New Roman"/>
                <w:b/>
                <w:bCs/>
                <w:sz w:val="21"/>
                <w:szCs w:val="21"/>
                <w:lang w:val="en-US" w:eastAsia="zh-CN"/>
              </w:rPr>
              <w:t>5</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无组织排放废气监测结果表</w:t>
            </w:r>
          </w:p>
          <w:tbl>
            <w:tblPr>
              <w:tblStyle w:val="21"/>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675"/>
              <w:gridCol w:w="878"/>
              <w:gridCol w:w="1576"/>
              <w:gridCol w:w="1068"/>
              <w:gridCol w:w="508"/>
              <w:gridCol w:w="761"/>
              <w:gridCol w:w="817"/>
              <w:gridCol w:w="159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rPr>
                  </w:pPr>
                  <w:r>
                    <w:rPr>
                      <w:rFonts w:hint="default" w:ascii="Times New Roman" w:hAnsi="Times New Roman" w:eastAsia="宋体" w:cs="Times New Roman"/>
                      <w:b/>
                      <w:bCs/>
                      <w:sz w:val="21"/>
                      <w:szCs w:val="21"/>
                      <w:vertAlign w:val="baseline"/>
                      <w:lang w:eastAsia="zh-CN"/>
                    </w:rPr>
                    <w:t>采</w:t>
                  </w:r>
                  <w:r>
                    <w:rPr>
                      <w:rFonts w:hint="default" w:ascii="Times New Roman" w:hAnsi="Times New Roman" w:eastAsia="宋体" w:cs="Times New Roman"/>
                      <w:b/>
                      <w:bCs/>
                      <w:sz w:val="21"/>
                      <w:szCs w:val="21"/>
                      <w:vertAlign w:val="baseline"/>
                      <w:lang w:val="en-US" w:eastAsia="zh-CN"/>
                    </w:rPr>
                    <w:t>样</w:t>
                  </w:r>
                  <w:r>
                    <w:rPr>
                      <w:rFonts w:hint="default" w:ascii="Times New Roman" w:hAnsi="Times New Roman" w:eastAsia="宋体" w:cs="Times New Roman"/>
                      <w:b/>
                      <w:bCs/>
                      <w:sz w:val="21"/>
                      <w:szCs w:val="21"/>
                      <w:vertAlign w:val="baseline"/>
                      <w:lang w:eastAsia="zh-CN"/>
                    </w:rPr>
                    <w:t>日期</w:t>
                  </w:r>
                </w:p>
              </w:tc>
              <w:tc>
                <w:tcPr>
                  <w:tcW w:w="2121" w:type="pct"/>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2023.12.18</w:t>
                  </w:r>
                </w:p>
              </w:tc>
              <w:tc>
                <w:tcPr>
                  <w:tcW w:w="764"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采样点位</w:t>
                  </w:r>
                </w:p>
              </w:tc>
              <w:tc>
                <w:tcPr>
                  <w:tcW w:w="1451"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G5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r>
                    <w:rPr>
                      <w:rFonts w:hint="default" w:ascii="Times New Roman" w:hAnsi="Times New Roman" w:eastAsia="宋体" w:cs="Times New Roman"/>
                      <w:sz w:val="21"/>
                      <w:szCs w:val="21"/>
                      <w:vertAlign w:val="baseline"/>
                      <w:lang w:eastAsia="zh-CN"/>
                    </w:rPr>
                    <w:t>气象参数</w:t>
                  </w:r>
                </w:p>
              </w:tc>
              <w:tc>
                <w:tcPr>
                  <w:tcW w:w="4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风速</w:t>
                  </w:r>
                </w:p>
              </w:tc>
              <w:tc>
                <w:tcPr>
                  <w:tcW w:w="4336"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4.5</w:t>
                  </w:r>
                  <w:r>
                    <w:rPr>
                      <w:rFonts w:hint="default" w:ascii="Times New Roman" w:hAnsi="Times New Roman" w:eastAsia="宋体" w:cs="Times New Roman"/>
                      <w:sz w:val="21"/>
                      <w:szCs w:val="21"/>
                      <w:vertAlign w:val="baseline"/>
                      <w:lang w:val="en-US" w:eastAsia="zh-CN"/>
                    </w:rPr>
                    <w:t>m/s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p>
              </w:tc>
              <w:tc>
                <w:tcPr>
                  <w:tcW w:w="4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风向</w:t>
                  </w:r>
                </w:p>
              </w:tc>
              <w:tc>
                <w:tcPr>
                  <w:tcW w:w="4336"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北风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p>
              </w:tc>
              <w:tc>
                <w:tcPr>
                  <w:tcW w:w="4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天气</w:t>
                  </w:r>
                </w:p>
              </w:tc>
              <w:tc>
                <w:tcPr>
                  <w:tcW w:w="4336"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多云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p>
              </w:tc>
              <w:tc>
                <w:tcPr>
                  <w:tcW w:w="4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气压</w:t>
                  </w:r>
                </w:p>
              </w:tc>
              <w:tc>
                <w:tcPr>
                  <w:tcW w:w="4336"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102.7</w:t>
                  </w:r>
                  <w:r>
                    <w:rPr>
                      <w:rFonts w:hint="default" w:ascii="Times New Roman" w:hAnsi="Times New Roman" w:eastAsia="宋体" w:cs="Times New Roman"/>
                      <w:sz w:val="21"/>
                      <w:szCs w:val="21"/>
                      <w:vertAlign w:val="baseline"/>
                      <w:lang w:val="en-US" w:eastAsia="zh-CN"/>
                    </w:rPr>
                    <w:t>kPa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rPr>
                  </w:pPr>
                  <w:r>
                    <w:rPr>
                      <w:rFonts w:hint="default" w:ascii="Times New Roman" w:hAnsi="Times New Roman" w:eastAsia="宋体" w:cs="Times New Roman"/>
                      <w:b/>
                      <w:bCs/>
                      <w:sz w:val="21"/>
                      <w:szCs w:val="21"/>
                      <w:vertAlign w:val="baseline"/>
                      <w:lang w:eastAsia="zh-CN"/>
                    </w:rPr>
                    <w:t>检测项目</w:t>
                  </w:r>
                </w:p>
              </w:tc>
              <w:tc>
                <w:tcPr>
                  <w:tcW w:w="52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r>
                    <w:rPr>
                      <w:rFonts w:hint="default" w:ascii="Times New Roman" w:hAnsi="Times New Roman" w:eastAsia="宋体" w:cs="Times New Roman"/>
                      <w:b/>
                      <w:bCs/>
                      <w:sz w:val="21"/>
                      <w:szCs w:val="21"/>
                      <w:vertAlign w:val="baseline"/>
                      <w:lang w:val="en-US" w:eastAsia="zh-CN"/>
                    </w:rPr>
                    <w:t>单位</w:t>
                  </w:r>
                </w:p>
              </w:tc>
              <w:tc>
                <w:tcPr>
                  <w:tcW w:w="94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kern w:val="2"/>
                      <w:sz w:val="21"/>
                      <w:szCs w:val="21"/>
                      <w:vertAlign w:val="baseline"/>
                      <w:lang w:val="en-US" w:eastAsia="zh-CN" w:bidi="ar-SA"/>
                    </w:rPr>
                    <w:t>第一次</w:t>
                  </w:r>
                </w:p>
              </w:tc>
              <w:tc>
                <w:tcPr>
                  <w:tcW w:w="949"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kern w:val="2"/>
                      <w:sz w:val="21"/>
                      <w:szCs w:val="21"/>
                      <w:vertAlign w:val="baseline"/>
                      <w:lang w:val="en-US" w:eastAsia="zh-CN" w:bidi="ar-SA"/>
                    </w:rPr>
                    <w:t>第二次</w:t>
                  </w:r>
                </w:p>
              </w:tc>
              <w:tc>
                <w:tcPr>
                  <w:tcW w:w="950"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kern w:val="2"/>
                      <w:sz w:val="21"/>
                      <w:szCs w:val="21"/>
                      <w:vertAlign w:val="baseline"/>
                      <w:lang w:val="en-US" w:eastAsia="zh-CN" w:bidi="ar-SA"/>
                    </w:rPr>
                    <w:t>第三次</w:t>
                  </w:r>
                </w:p>
              </w:tc>
              <w:tc>
                <w:tcPr>
                  <w:tcW w:w="95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参考标准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lang w:val="en-US"/>
                    </w:rPr>
                  </w:pPr>
                  <w:r>
                    <w:rPr>
                      <w:rFonts w:hint="default" w:ascii="Times New Roman" w:hAnsi="Times New Roman" w:eastAsia="宋体" w:cs="Times New Roman"/>
                      <w:lang w:val="en-US" w:eastAsia="zh-CN"/>
                    </w:rPr>
                    <w:t>非甲烷总烃</w:t>
                  </w:r>
                </w:p>
              </w:tc>
              <w:tc>
                <w:tcPr>
                  <w:tcW w:w="52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949" w:type="pct"/>
                  <w:tcBorders>
                    <w:tl2br w:val="nil"/>
                    <w:tr2bl w:val="nil"/>
                  </w:tcBorders>
                  <w:noWrap w:val="0"/>
                  <w:vAlign w:val="center"/>
                </w:tcPr>
                <w:p>
                  <w:pPr>
                    <w:pStyle w:val="28"/>
                    <w:keepNext w:val="0"/>
                    <w:keepLines w:val="0"/>
                    <w:pageBreakBefore w:val="0"/>
                    <w:widowControl w:val="0"/>
                    <w:kinsoku w:val="0"/>
                    <w:wordWrap/>
                    <w:overflowPunct w:val="0"/>
                    <w:topLinePunct w:val="0"/>
                    <w:autoSpaceDE/>
                    <w:autoSpaceDN/>
                    <w:bidi w:val="0"/>
                    <w:adjustRightInd/>
                    <w:snapToGrid/>
                    <w:spacing w:before="0" w:line="240" w:lineRule="auto"/>
                    <w:ind w:left="0" w:leftChars="0"/>
                    <w:jc w:val="center"/>
                    <w:textAlignment w:val="auto"/>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kern w:val="2"/>
                      <w:sz w:val="21"/>
                      <w:szCs w:val="21"/>
                      <w:vertAlign w:val="baseline"/>
                      <w:lang w:val="en-US" w:eastAsia="zh-CN" w:bidi="ar-SA"/>
                    </w:rPr>
                    <w:t>0.36</w:t>
                  </w:r>
                </w:p>
              </w:tc>
              <w:tc>
                <w:tcPr>
                  <w:tcW w:w="949" w:type="pct"/>
                  <w:gridSpan w:val="2"/>
                  <w:tcBorders>
                    <w:tl2br w:val="nil"/>
                    <w:tr2bl w:val="nil"/>
                  </w:tcBorders>
                  <w:noWrap w:val="0"/>
                  <w:vAlign w:val="center"/>
                </w:tcPr>
                <w:p>
                  <w:pPr>
                    <w:pStyle w:val="28"/>
                    <w:keepNext w:val="0"/>
                    <w:keepLines w:val="0"/>
                    <w:pageBreakBefore w:val="0"/>
                    <w:widowControl w:val="0"/>
                    <w:kinsoku w:val="0"/>
                    <w:wordWrap/>
                    <w:overflowPunct w:val="0"/>
                    <w:topLinePunct w:val="0"/>
                    <w:autoSpaceDE/>
                    <w:autoSpaceDN/>
                    <w:bidi w:val="0"/>
                    <w:adjustRightInd/>
                    <w:snapToGrid/>
                    <w:spacing w:before="0" w:line="240" w:lineRule="auto"/>
                    <w:ind w:left="0" w:leftChars="0"/>
                    <w:jc w:val="center"/>
                    <w:textAlignment w:val="auto"/>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kern w:val="2"/>
                      <w:sz w:val="21"/>
                      <w:szCs w:val="21"/>
                      <w:vertAlign w:val="baseline"/>
                      <w:lang w:val="en-US" w:eastAsia="zh-CN" w:bidi="ar-SA"/>
                    </w:rPr>
                    <w:t>0.34</w:t>
                  </w:r>
                </w:p>
              </w:tc>
              <w:tc>
                <w:tcPr>
                  <w:tcW w:w="950" w:type="pct"/>
                  <w:gridSpan w:val="2"/>
                  <w:tcBorders>
                    <w:tl2br w:val="nil"/>
                    <w:tr2bl w:val="nil"/>
                  </w:tcBorders>
                  <w:noWrap w:val="0"/>
                  <w:vAlign w:val="center"/>
                </w:tcPr>
                <w:p>
                  <w:pPr>
                    <w:pStyle w:val="28"/>
                    <w:keepNext w:val="0"/>
                    <w:keepLines w:val="0"/>
                    <w:pageBreakBefore w:val="0"/>
                    <w:widowControl w:val="0"/>
                    <w:kinsoku w:val="0"/>
                    <w:wordWrap/>
                    <w:overflowPunct w:val="0"/>
                    <w:topLinePunct w:val="0"/>
                    <w:autoSpaceDE/>
                    <w:autoSpaceDN/>
                    <w:bidi w:val="0"/>
                    <w:adjustRightInd/>
                    <w:snapToGrid/>
                    <w:spacing w:before="0" w:line="240" w:lineRule="auto"/>
                    <w:ind w:left="0" w:leftChars="0"/>
                    <w:jc w:val="center"/>
                    <w:textAlignment w:val="auto"/>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0.35</w:t>
                  </w:r>
                </w:p>
              </w:tc>
              <w:tc>
                <w:tcPr>
                  <w:tcW w:w="95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9"/>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参考标准：</w:t>
                  </w:r>
                  <w:r>
                    <w:rPr>
                      <w:rFonts w:hint="default" w:ascii="Times New Roman" w:hAnsi="Times New Roman" w:cs="Times New Roman"/>
                      <w:color w:val="000000"/>
                      <w:sz w:val="21"/>
                      <w:szCs w:val="21"/>
                      <w:lang w:val="zh-CN" w:eastAsia="zh-CN"/>
                    </w:rPr>
                    <w:t>《挥发性有机物无组织排放控制标准》（</w:t>
                  </w:r>
                  <w:r>
                    <w:rPr>
                      <w:rFonts w:hint="default" w:ascii="Times New Roman" w:hAnsi="Times New Roman" w:cs="Times New Roman"/>
                      <w:color w:val="000000"/>
                      <w:sz w:val="21"/>
                      <w:szCs w:val="21"/>
                      <w:lang w:val="en-US" w:eastAsia="zh-CN"/>
                    </w:rPr>
                    <w:t>GB37822-2019</w:t>
                  </w:r>
                  <w:r>
                    <w:rPr>
                      <w:rFonts w:hint="default" w:ascii="Times New Roman" w:hAnsi="Times New Roman" w:cs="Times New Roman"/>
                      <w:color w:val="000000"/>
                      <w:sz w:val="21"/>
                      <w:szCs w:val="21"/>
                      <w:lang w:val="zh-CN" w:eastAsia="zh-CN"/>
                    </w:rPr>
                    <w:t>）表</w:t>
                  </w:r>
                  <w:r>
                    <w:rPr>
                      <w:rFonts w:hint="default" w:ascii="Times New Roman" w:hAnsi="Times New Roman" w:cs="Times New Roman"/>
                      <w:color w:val="000000"/>
                      <w:sz w:val="21"/>
                      <w:szCs w:val="21"/>
                      <w:lang w:val="en-US" w:eastAsia="zh-CN"/>
                    </w:rPr>
                    <w:t>A.1厂区内VOCs无组织排放特别限值。</w:t>
                  </w:r>
                </w:p>
              </w:tc>
            </w:tr>
          </w:tbl>
          <w:p>
            <w:pPr>
              <w:pStyle w:val="2"/>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表7-</w:t>
            </w:r>
            <w:r>
              <w:rPr>
                <w:rFonts w:hint="eastAsia" w:ascii="Times New Roman" w:hAnsi="Times New Roman" w:cs="Times New Roman"/>
                <w:b/>
                <w:bCs/>
                <w:sz w:val="21"/>
                <w:szCs w:val="21"/>
                <w:lang w:val="en-US" w:eastAsia="zh-CN"/>
              </w:rPr>
              <w:t>6</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无组织排放废气监测结果表</w:t>
            </w:r>
          </w:p>
          <w:tbl>
            <w:tblPr>
              <w:tblStyle w:val="21"/>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675"/>
              <w:gridCol w:w="878"/>
              <w:gridCol w:w="1576"/>
              <w:gridCol w:w="1068"/>
              <w:gridCol w:w="508"/>
              <w:gridCol w:w="761"/>
              <w:gridCol w:w="817"/>
              <w:gridCol w:w="159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rPr>
                  </w:pPr>
                  <w:r>
                    <w:rPr>
                      <w:rFonts w:hint="default" w:ascii="Times New Roman" w:hAnsi="Times New Roman" w:eastAsia="宋体" w:cs="Times New Roman"/>
                      <w:b/>
                      <w:bCs/>
                      <w:sz w:val="21"/>
                      <w:szCs w:val="21"/>
                      <w:vertAlign w:val="baseline"/>
                      <w:lang w:eastAsia="zh-CN"/>
                    </w:rPr>
                    <w:t>采</w:t>
                  </w:r>
                  <w:r>
                    <w:rPr>
                      <w:rFonts w:hint="default" w:ascii="Times New Roman" w:hAnsi="Times New Roman" w:eastAsia="宋体" w:cs="Times New Roman"/>
                      <w:b/>
                      <w:bCs/>
                      <w:sz w:val="21"/>
                      <w:szCs w:val="21"/>
                      <w:vertAlign w:val="baseline"/>
                      <w:lang w:val="en-US" w:eastAsia="zh-CN"/>
                    </w:rPr>
                    <w:t>样</w:t>
                  </w:r>
                  <w:r>
                    <w:rPr>
                      <w:rFonts w:hint="default" w:ascii="Times New Roman" w:hAnsi="Times New Roman" w:eastAsia="宋体" w:cs="Times New Roman"/>
                      <w:b/>
                      <w:bCs/>
                      <w:sz w:val="21"/>
                      <w:szCs w:val="21"/>
                      <w:vertAlign w:val="baseline"/>
                      <w:lang w:eastAsia="zh-CN"/>
                    </w:rPr>
                    <w:t>日期</w:t>
                  </w:r>
                </w:p>
              </w:tc>
              <w:tc>
                <w:tcPr>
                  <w:tcW w:w="2121" w:type="pct"/>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2023.12.19</w:t>
                  </w:r>
                </w:p>
              </w:tc>
              <w:tc>
                <w:tcPr>
                  <w:tcW w:w="764"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采样点位</w:t>
                  </w:r>
                </w:p>
              </w:tc>
              <w:tc>
                <w:tcPr>
                  <w:tcW w:w="1451"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eastAsia" w:ascii="Times New Roman" w:hAnsi="Times New Roman" w:eastAsia="宋体" w:cs="Times New Roman"/>
                      <w:b/>
                      <w:bCs/>
                      <w:sz w:val="21"/>
                      <w:szCs w:val="21"/>
                      <w:vertAlign w:val="baseline"/>
                      <w:lang w:val="en-US" w:eastAsia="zh-CN"/>
                    </w:rPr>
                    <w:t>G5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r>
                    <w:rPr>
                      <w:rFonts w:hint="default" w:ascii="Times New Roman" w:hAnsi="Times New Roman" w:eastAsia="宋体" w:cs="Times New Roman"/>
                      <w:sz w:val="21"/>
                      <w:szCs w:val="21"/>
                      <w:vertAlign w:val="baseline"/>
                      <w:lang w:eastAsia="zh-CN"/>
                    </w:rPr>
                    <w:t>气象参数</w:t>
                  </w:r>
                </w:p>
              </w:tc>
              <w:tc>
                <w:tcPr>
                  <w:tcW w:w="4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风速</w:t>
                  </w:r>
                </w:p>
              </w:tc>
              <w:tc>
                <w:tcPr>
                  <w:tcW w:w="4336"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4.5</w:t>
                  </w:r>
                  <w:r>
                    <w:rPr>
                      <w:rFonts w:hint="default" w:ascii="Times New Roman" w:hAnsi="Times New Roman" w:eastAsia="宋体" w:cs="Times New Roman"/>
                      <w:sz w:val="21"/>
                      <w:szCs w:val="21"/>
                      <w:vertAlign w:val="baseline"/>
                      <w:lang w:val="en-US" w:eastAsia="zh-CN"/>
                    </w:rPr>
                    <w:t>m/s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p>
              </w:tc>
              <w:tc>
                <w:tcPr>
                  <w:tcW w:w="4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风向</w:t>
                  </w:r>
                </w:p>
              </w:tc>
              <w:tc>
                <w:tcPr>
                  <w:tcW w:w="4336"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西北风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p>
              </w:tc>
              <w:tc>
                <w:tcPr>
                  <w:tcW w:w="4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天气</w:t>
                  </w:r>
                </w:p>
              </w:tc>
              <w:tc>
                <w:tcPr>
                  <w:tcW w:w="4336"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多云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p>
              </w:tc>
              <w:tc>
                <w:tcPr>
                  <w:tcW w:w="406"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eastAsia="zh-CN"/>
                    </w:rPr>
                    <w:t>气压</w:t>
                  </w:r>
                </w:p>
              </w:tc>
              <w:tc>
                <w:tcPr>
                  <w:tcW w:w="4336" w:type="pct"/>
                  <w:gridSpan w:val="7"/>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103.1</w:t>
                  </w:r>
                  <w:r>
                    <w:rPr>
                      <w:rFonts w:hint="default" w:ascii="Times New Roman" w:hAnsi="Times New Roman" w:eastAsia="宋体" w:cs="Times New Roman"/>
                      <w:sz w:val="21"/>
                      <w:szCs w:val="21"/>
                      <w:vertAlign w:val="baseline"/>
                      <w:lang w:val="en-US" w:eastAsia="zh-CN"/>
                    </w:rPr>
                    <w:t>kPa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rPr>
                  </w:pPr>
                  <w:r>
                    <w:rPr>
                      <w:rFonts w:hint="default" w:ascii="Times New Roman" w:hAnsi="Times New Roman" w:eastAsia="宋体" w:cs="Times New Roman"/>
                      <w:b/>
                      <w:bCs/>
                      <w:sz w:val="21"/>
                      <w:szCs w:val="21"/>
                      <w:vertAlign w:val="baseline"/>
                      <w:lang w:eastAsia="zh-CN"/>
                    </w:rPr>
                    <w:t>检测项目</w:t>
                  </w:r>
                </w:p>
              </w:tc>
              <w:tc>
                <w:tcPr>
                  <w:tcW w:w="52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eastAsia="zh-CN"/>
                    </w:rPr>
                  </w:pPr>
                  <w:r>
                    <w:rPr>
                      <w:rFonts w:hint="default" w:ascii="Times New Roman" w:hAnsi="Times New Roman" w:eastAsia="宋体" w:cs="Times New Roman"/>
                      <w:b/>
                      <w:bCs/>
                      <w:sz w:val="21"/>
                      <w:szCs w:val="21"/>
                      <w:vertAlign w:val="baseline"/>
                      <w:lang w:val="en-US" w:eastAsia="zh-CN"/>
                    </w:rPr>
                    <w:t>单位</w:t>
                  </w:r>
                </w:p>
              </w:tc>
              <w:tc>
                <w:tcPr>
                  <w:tcW w:w="94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kern w:val="2"/>
                      <w:sz w:val="21"/>
                      <w:szCs w:val="21"/>
                      <w:vertAlign w:val="baseline"/>
                      <w:lang w:val="en-US" w:eastAsia="zh-CN" w:bidi="ar-SA"/>
                    </w:rPr>
                    <w:t>第一次</w:t>
                  </w:r>
                </w:p>
              </w:tc>
              <w:tc>
                <w:tcPr>
                  <w:tcW w:w="949"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kern w:val="2"/>
                      <w:sz w:val="21"/>
                      <w:szCs w:val="21"/>
                      <w:vertAlign w:val="baseline"/>
                      <w:lang w:val="en-US" w:eastAsia="zh-CN" w:bidi="ar-SA"/>
                    </w:rPr>
                    <w:t>第二次</w:t>
                  </w:r>
                </w:p>
              </w:tc>
              <w:tc>
                <w:tcPr>
                  <w:tcW w:w="950"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kern w:val="2"/>
                      <w:sz w:val="21"/>
                      <w:szCs w:val="21"/>
                      <w:vertAlign w:val="baseline"/>
                      <w:lang w:val="en-US" w:eastAsia="zh-CN" w:bidi="ar-SA"/>
                    </w:rPr>
                    <w:t>第三次</w:t>
                  </w:r>
                </w:p>
              </w:tc>
              <w:tc>
                <w:tcPr>
                  <w:tcW w:w="95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kern w:val="2"/>
                      <w:sz w:val="21"/>
                      <w:szCs w:val="21"/>
                      <w:vertAlign w:val="baseline"/>
                      <w:lang w:val="en-US" w:eastAsia="zh-CN" w:bidi="ar-SA"/>
                    </w:rPr>
                  </w:pPr>
                  <w:r>
                    <w:rPr>
                      <w:rFonts w:hint="default" w:ascii="Times New Roman" w:hAnsi="Times New Roman" w:eastAsia="宋体" w:cs="Times New Roman"/>
                      <w:b/>
                      <w:bCs/>
                      <w:sz w:val="21"/>
                      <w:szCs w:val="21"/>
                      <w:vertAlign w:val="baseline"/>
                      <w:lang w:eastAsia="zh-CN"/>
                    </w:rPr>
                    <w:t>参考标准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lang w:val="en-US"/>
                    </w:rPr>
                  </w:pPr>
                  <w:r>
                    <w:rPr>
                      <w:rFonts w:hint="default" w:ascii="Times New Roman" w:hAnsi="Times New Roman" w:eastAsia="宋体" w:cs="Times New Roman"/>
                      <w:lang w:val="en-US" w:eastAsia="zh-CN"/>
                    </w:rPr>
                    <w:t>非甲烷总烃</w:t>
                  </w:r>
                </w:p>
              </w:tc>
              <w:tc>
                <w:tcPr>
                  <w:tcW w:w="52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kern w:val="2"/>
                      <w:sz w:val="21"/>
                      <w:szCs w:val="21"/>
                      <w:vertAlign w:val="baseline"/>
                      <w:lang w:val="en-US" w:eastAsia="zh-CN" w:bidi="ar-SA"/>
                    </w:rPr>
                    <w:t>mg/m</w:t>
                  </w:r>
                  <w:r>
                    <w:rPr>
                      <w:rFonts w:hint="default" w:ascii="Times New Roman" w:hAnsi="Times New Roman" w:eastAsia="宋体" w:cs="Times New Roman"/>
                      <w:b w:val="0"/>
                      <w:bCs w:val="0"/>
                      <w:kern w:val="2"/>
                      <w:sz w:val="21"/>
                      <w:szCs w:val="21"/>
                      <w:vertAlign w:val="superscript"/>
                      <w:lang w:val="en-US" w:eastAsia="zh-CN" w:bidi="ar-SA"/>
                    </w:rPr>
                    <w:t>3</w:t>
                  </w:r>
                </w:p>
              </w:tc>
              <w:tc>
                <w:tcPr>
                  <w:tcW w:w="949" w:type="pct"/>
                  <w:tcBorders>
                    <w:tl2br w:val="nil"/>
                    <w:tr2bl w:val="nil"/>
                  </w:tcBorders>
                  <w:noWrap w:val="0"/>
                  <w:vAlign w:val="center"/>
                </w:tcPr>
                <w:p>
                  <w:pPr>
                    <w:pStyle w:val="28"/>
                    <w:keepNext w:val="0"/>
                    <w:keepLines w:val="0"/>
                    <w:pageBreakBefore w:val="0"/>
                    <w:widowControl w:val="0"/>
                    <w:kinsoku w:val="0"/>
                    <w:wordWrap/>
                    <w:overflowPunct w:val="0"/>
                    <w:topLinePunct w:val="0"/>
                    <w:autoSpaceDE/>
                    <w:autoSpaceDN/>
                    <w:bidi w:val="0"/>
                    <w:adjustRightInd/>
                    <w:snapToGrid/>
                    <w:spacing w:before="0" w:line="240" w:lineRule="auto"/>
                    <w:ind w:left="0" w:leftChars="0"/>
                    <w:jc w:val="center"/>
                    <w:textAlignment w:val="auto"/>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kern w:val="2"/>
                      <w:sz w:val="21"/>
                      <w:szCs w:val="21"/>
                      <w:vertAlign w:val="baseline"/>
                      <w:lang w:val="en-US" w:eastAsia="zh-CN" w:bidi="ar-SA"/>
                    </w:rPr>
                    <w:t>0.29</w:t>
                  </w:r>
                </w:p>
              </w:tc>
              <w:tc>
                <w:tcPr>
                  <w:tcW w:w="949" w:type="pct"/>
                  <w:gridSpan w:val="2"/>
                  <w:tcBorders>
                    <w:tl2br w:val="nil"/>
                    <w:tr2bl w:val="nil"/>
                  </w:tcBorders>
                  <w:noWrap w:val="0"/>
                  <w:vAlign w:val="center"/>
                </w:tcPr>
                <w:p>
                  <w:pPr>
                    <w:pStyle w:val="28"/>
                    <w:keepNext w:val="0"/>
                    <w:keepLines w:val="0"/>
                    <w:pageBreakBefore w:val="0"/>
                    <w:widowControl w:val="0"/>
                    <w:kinsoku w:val="0"/>
                    <w:wordWrap/>
                    <w:overflowPunct w:val="0"/>
                    <w:topLinePunct w:val="0"/>
                    <w:autoSpaceDE/>
                    <w:autoSpaceDN/>
                    <w:bidi w:val="0"/>
                    <w:adjustRightInd/>
                    <w:snapToGrid/>
                    <w:spacing w:before="0" w:line="240" w:lineRule="auto"/>
                    <w:ind w:left="0" w:leftChars="0"/>
                    <w:jc w:val="center"/>
                    <w:textAlignment w:val="auto"/>
                    <w:rPr>
                      <w:rFonts w:hint="default" w:ascii="Times New Roman" w:hAnsi="Times New Roman" w:eastAsia="宋体" w:cs="Times New Roman"/>
                      <w:b w:val="0"/>
                      <w:bCs w:val="0"/>
                      <w:kern w:val="2"/>
                      <w:sz w:val="21"/>
                      <w:szCs w:val="21"/>
                      <w:vertAlign w:val="baseline"/>
                      <w:lang w:val="en-US" w:eastAsia="zh-CN" w:bidi="ar-SA"/>
                    </w:rPr>
                  </w:pPr>
                  <w:r>
                    <w:rPr>
                      <w:rFonts w:hint="eastAsia" w:ascii="Times New Roman" w:hAnsi="Times New Roman" w:eastAsia="宋体" w:cs="Times New Roman"/>
                      <w:b w:val="0"/>
                      <w:bCs w:val="0"/>
                      <w:kern w:val="2"/>
                      <w:sz w:val="21"/>
                      <w:szCs w:val="21"/>
                      <w:vertAlign w:val="baseline"/>
                      <w:lang w:val="en-US" w:eastAsia="zh-CN" w:bidi="ar-SA"/>
                    </w:rPr>
                    <w:t>0.39</w:t>
                  </w:r>
                </w:p>
              </w:tc>
              <w:tc>
                <w:tcPr>
                  <w:tcW w:w="950" w:type="pct"/>
                  <w:gridSpan w:val="2"/>
                  <w:tcBorders>
                    <w:tl2br w:val="nil"/>
                    <w:tr2bl w:val="nil"/>
                  </w:tcBorders>
                  <w:noWrap w:val="0"/>
                  <w:vAlign w:val="center"/>
                </w:tcPr>
                <w:p>
                  <w:pPr>
                    <w:pStyle w:val="28"/>
                    <w:keepNext w:val="0"/>
                    <w:keepLines w:val="0"/>
                    <w:pageBreakBefore w:val="0"/>
                    <w:widowControl w:val="0"/>
                    <w:kinsoku w:val="0"/>
                    <w:wordWrap/>
                    <w:overflowPunct w:val="0"/>
                    <w:topLinePunct w:val="0"/>
                    <w:autoSpaceDE/>
                    <w:autoSpaceDN/>
                    <w:bidi w:val="0"/>
                    <w:adjustRightInd/>
                    <w:snapToGrid/>
                    <w:spacing w:before="0" w:line="240" w:lineRule="auto"/>
                    <w:ind w:left="0" w:leftChars="0"/>
                    <w:jc w:val="center"/>
                    <w:textAlignment w:val="auto"/>
                    <w:rPr>
                      <w:rFonts w:hint="default" w:ascii="Times New Roman" w:hAnsi="Times New Roman" w:eastAsia="宋体" w:cs="Times New Roman"/>
                      <w:b w:val="0"/>
                      <w:bCs w:val="0"/>
                      <w:sz w:val="21"/>
                      <w:szCs w:val="21"/>
                      <w:vertAlign w:val="baseline"/>
                      <w:lang w:val="en-US" w:eastAsia="zh-CN"/>
                    </w:rPr>
                  </w:pPr>
                  <w:r>
                    <w:rPr>
                      <w:rFonts w:hint="eastAsia" w:ascii="Times New Roman" w:hAnsi="Times New Roman" w:eastAsia="宋体" w:cs="Times New Roman"/>
                      <w:b w:val="0"/>
                      <w:bCs w:val="0"/>
                      <w:sz w:val="21"/>
                      <w:szCs w:val="21"/>
                      <w:vertAlign w:val="baseline"/>
                      <w:lang w:val="en-US" w:eastAsia="zh-CN"/>
                    </w:rPr>
                    <w:t>0.30</w:t>
                  </w:r>
                </w:p>
              </w:tc>
              <w:tc>
                <w:tcPr>
                  <w:tcW w:w="95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9"/>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参考标准：</w:t>
                  </w:r>
                  <w:r>
                    <w:rPr>
                      <w:rFonts w:hint="default" w:ascii="Times New Roman" w:hAnsi="Times New Roman" w:cs="Times New Roman"/>
                      <w:color w:val="000000"/>
                      <w:sz w:val="21"/>
                      <w:szCs w:val="21"/>
                      <w:lang w:val="zh-CN" w:eastAsia="zh-CN"/>
                    </w:rPr>
                    <w:t>《挥发性有机物无组织排放控制标准》（</w:t>
                  </w:r>
                  <w:r>
                    <w:rPr>
                      <w:rFonts w:hint="default" w:ascii="Times New Roman" w:hAnsi="Times New Roman" w:cs="Times New Roman"/>
                      <w:color w:val="000000"/>
                      <w:sz w:val="21"/>
                      <w:szCs w:val="21"/>
                      <w:lang w:val="en-US" w:eastAsia="zh-CN"/>
                    </w:rPr>
                    <w:t>GB37822-2019</w:t>
                  </w:r>
                  <w:r>
                    <w:rPr>
                      <w:rFonts w:hint="default" w:ascii="Times New Roman" w:hAnsi="Times New Roman" w:cs="Times New Roman"/>
                      <w:color w:val="000000"/>
                      <w:sz w:val="21"/>
                      <w:szCs w:val="21"/>
                      <w:lang w:val="zh-CN" w:eastAsia="zh-CN"/>
                    </w:rPr>
                    <w:t>）表</w:t>
                  </w:r>
                  <w:r>
                    <w:rPr>
                      <w:rFonts w:hint="default" w:ascii="Times New Roman" w:hAnsi="Times New Roman" w:cs="Times New Roman"/>
                      <w:color w:val="000000"/>
                      <w:sz w:val="21"/>
                      <w:szCs w:val="21"/>
                      <w:lang w:val="en-US" w:eastAsia="zh-CN"/>
                    </w:rPr>
                    <w:t>A.1厂区内VOCs无组织排放特别限值。</w:t>
                  </w:r>
                </w:p>
              </w:tc>
            </w:tr>
          </w:tbl>
          <w:p>
            <w:pPr>
              <w:pStyle w:val="2"/>
              <w:numPr>
                <w:ilvl w:val="0"/>
                <w:numId w:val="0"/>
              </w:numPr>
              <w:spacing w:line="360" w:lineRule="auto"/>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color w:val="000000"/>
                <w:sz w:val="24"/>
                <w:szCs w:val="24"/>
                <w:lang w:val="en-US" w:eastAsia="zh-CN" w:bidi="ar-SA"/>
              </w:rPr>
              <w:t>2、</w:t>
            </w:r>
            <w:r>
              <w:rPr>
                <w:rFonts w:hint="default" w:ascii="Times New Roman" w:hAnsi="Times New Roman" w:eastAsia="宋体" w:cs="Times New Roman"/>
                <w:b w:val="0"/>
                <w:bCs/>
                <w:lang w:val="en-US" w:eastAsia="zh-CN"/>
              </w:rPr>
              <w:t>废水监测</w:t>
            </w:r>
          </w:p>
          <w:p>
            <w:pPr>
              <w:pStyle w:val="33"/>
              <w:spacing w:line="360" w:lineRule="auto"/>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本</w:t>
            </w:r>
            <w:r>
              <w:rPr>
                <w:rFonts w:hint="default" w:ascii="Times New Roman" w:hAnsi="Times New Roman" w:eastAsia="宋体" w:cs="Times New Roman"/>
              </w:rPr>
              <w:t>项目</w:t>
            </w:r>
            <w:r>
              <w:rPr>
                <w:rFonts w:hint="default" w:ascii="Times New Roman" w:hAnsi="Times New Roman" w:eastAsia="宋体" w:cs="Times New Roman"/>
                <w:lang w:eastAsia="zh-CN"/>
              </w:rPr>
              <w:t>废水</w:t>
            </w:r>
            <w:r>
              <w:rPr>
                <w:rFonts w:hint="default" w:ascii="Times New Roman" w:hAnsi="Times New Roman" w:eastAsia="宋体" w:cs="Times New Roman"/>
              </w:rPr>
              <w:t>检测结果见表</w:t>
            </w:r>
            <w:r>
              <w:rPr>
                <w:rFonts w:hint="default" w:ascii="Times New Roman" w:hAnsi="Times New Roman" w:eastAsia="宋体" w:cs="Times New Roman"/>
                <w:lang w:val="en-US" w:eastAsia="zh-CN"/>
              </w:rPr>
              <w:t>7-</w:t>
            </w:r>
            <w:r>
              <w:rPr>
                <w:rFonts w:hint="eastAsia" w:ascii="Times New Roman" w:hAnsi="Times New Roman" w:eastAsia="宋体" w:cs="Times New Roman"/>
                <w:lang w:val="en-US" w:eastAsia="zh-CN"/>
              </w:rPr>
              <w:t>7</w:t>
            </w:r>
            <w:r>
              <w:rPr>
                <w:rFonts w:hint="default" w:ascii="Times New Roman" w:hAnsi="Times New Roman" w:eastAsia="宋体" w:cs="Times New Roman"/>
                <w:lang w:val="en-US" w:eastAsia="zh-CN"/>
              </w:rPr>
              <w:t>~7-</w:t>
            </w:r>
            <w:r>
              <w:rPr>
                <w:rFonts w:hint="eastAsia" w:ascii="Times New Roman" w:hAnsi="Times New Roman" w:eastAsia="宋体" w:cs="Times New Roman"/>
                <w:lang w:val="en-US" w:eastAsia="zh-CN"/>
              </w:rPr>
              <w:t>8</w:t>
            </w:r>
            <w:r>
              <w:rPr>
                <w:rFonts w:hint="default" w:ascii="Times New Roman" w:hAnsi="Times New Roman" w:eastAsia="宋体" w:cs="Times New Roman"/>
                <w:lang w:val="en-US" w:eastAsia="zh-CN"/>
              </w:rPr>
              <w:t>。</w:t>
            </w:r>
          </w:p>
          <w:p>
            <w:pPr>
              <w:pStyle w:val="2"/>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b/>
                <w:bCs/>
                <w:sz w:val="21"/>
                <w:szCs w:val="21"/>
              </w:rPr>
              <w:t>表7-</w:t>
            </w:r>
            <w:r>
              <w:rPr>
                <w:rFonts w:hint="eastAsia" w:ascii="Times New Roman" w:hAnsi="Times New Roman" w:cs="Times New Roman"/>
                <w:b/>
                <w:bCs/>
                <w:sz w:val="21"/>
                <w:szCs w:val="21"/>
                <w:lang w:val="en-US" w:eastAsia="zh-CN"/>
              </w:rPr>
              <w:t>7</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sz w:val="21"/>
                <w:szCs w:val="21"/>
                <w:lang w:eastAsia="zh-CN"/>
              </w:rPr>
              <w:t>废水检测</w:t>
            </w:r>
            <w:r>
              <w:rPr>
                <w:rFonts w:hint="default" w:ascii="Times New Roman" w:hAnsi="Times New Roman" w:eastAsia="宋体" w:cs="Times New Roman"/>
                <w:b/>
                <w:bCs/>
                <w:sz w:val="21"/>
                <w:szCs w:val="21"/>
              </w:rPr>
              <w:t>结果表</w:t>
            </w:r>
          </w:p>
          <w:tbl>
            <w:tblPr>
              <w:tblStyle w:val="21"/>
              <w:tblW w:w="4995"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0"/>
              <w:gridCol w:w="956"/>
              <w:gridCol w:w="1144"/>
              <w:gridCol w:w="1144"/>
              <w:gridCol w:w="1144"/>
              <w:gridCol w:w="1154"/>
              <w:gridCol w:w="14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54"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采样日期：</w:t>
                  </w:r>
                  <w:r>
                    <w:rPr>
                      <w:rFonts w:hint="eastAsia" w:ascii="Times New Roman" w:hAnsi="Times New Roman" w:eastAsia="宋体" w:cs="Times New Roman"/>
                      <w:b w:val="0"/>
                      <w:bCs w:val="0"/>
                      <w:sz w:val="21"/>
                      <w:szCs w:val="21"/>
                      <w:vertAlign w:val="baseline"/>
                      <w:lang w:val="en-US" w:eastAsia="zh-CN"/>
                    </w:rPr>
                    <w:t>2023.12.18</w:t>
                  </w:r>
                </w:p>
              </w:tc>
              <w:tc>
                <w:tcPr>
                  <w:tcW w:w="2762" w:type="pct"/>
                  <w:gridSpan w:val="4"/>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kern w:val="2"/>
                      <w:sz w:val="21"/>
                      <w:szCs w:val="21"/>
                      <w:vertAlign w:val="baseline"/>
                      <w:lang w:val="en-US" w:eastAsia="zh-CN" w:bidi="ar-SA"/>
                    </w:rPr>
                    <w:t>总排口</w:t>
                  </w:r>
                </w:p>
              </w:tc>
              <w:tc>
                <w:tcPr>
                  <w:tcW w:w="883" w:type="pct"/>
                  <w:vMerge w:val="restar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标准限值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检测项目</w:t>
                  </w:r>
                </w:p>
              </w:tc>
              <w:tc>
                <w:tcPr>
                  <w:tcW w:w="576"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单位</w:t>
                  </w:r>
                </w:p>
              </w:tc>
              <w:tc>
                <w:tcPr>
                  <w:tcW w:w="689"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第一次</w:t>
                  </w:r>
                </w:p>
              </w:tc>
              <w:tc>
                <w:tcPr>
                  <w:tcW w:w="689"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第二次</w:t>
                  </w:r>
                </w:p>
              </w:tc>
              <w:tc>
                <w:tcPr>
                  <w:tcW w:w="689"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第三次</w:t>
                  </w:r>
                </w:p>
              </w:tc>
              <w:tc>
                <w:tcPr>
                  <w:tcW w:w="694"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第四次</w:t>
                  </w:r>
                </w:p>
              </w:tc>
              <w:tc>
                <w:tcPr>
                  <w:tcW w:w="883" w:type="pct"/>
                  <w:vMerge w:val="continue"/>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bCs/>
                      <w:sz w:val="21"/>
                      <w:szCs w:val="21"/>
                    </w:rPr>
                    <w:t>pH</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无量纲</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7.9</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7.8</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7.9</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7.8</w:t>
                  </w:r>
                </w:p>
              </w:tc>
              <w:tc>
                <w:tcPr>
                  <w:tcW w:w="883"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COD</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358</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347</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341</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309</w:t>
                  </w:r>
                </w:p>
              </w:tc>
              <w:tc>
                <w:tcPr>
                  <w:tcW w:w="883"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SS</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12</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13</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17</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13</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400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color w:val="000000"/>
                      <w:sz w:val="21"/>
                      <w:szCs w:val="21"/>
                    </w:rPr>
                    <w:t>甲醛</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0.06</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0.07</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0.07</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0.06</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sz w:val="21"/>
                      <w:szCs w:val="21"/>
                    </w:rPr>
                    <w:t>三氯甲烷</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3.8×10</w:t>
                  </w:r>
                  <w:r>
                    <w:rPr>
                      <w:rFonts w:hint="eastAsia" w:ascii="Times New Roman" w:hAnsi="Times New Roman" w:eastAsia="宋体" w:cs="Times New Roman"/>
                      <w:kern w:val="2"/>
                      <w:sz w:val="21"/>
                      <w:szCs w:val="21"/>
                      <w:vertAlign w:val="superscript"/>
                      <w:lang w:val="en-US" w:eastAsia="zh-CN" w:bidi="ar-SA"/>
                    </w:rPr>
                    <w:t>-3</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1.21×10</w:t>
                  </w:r>
                  <w:r>
                    <w:rPr>
                      <w:rFonts w:hint="eastAsia" w:ascii="Times New Roman" w:hAnsi="Times New Roman" w:eastAsia="宋体" w:cs="Times New Roman"/>
                      <w:kern w:val="2"/>
                      <w:sz w:val="21"/>
                      <w:szCs w:val="21"/>
                      <w:vertAlign w:val="superscript"/>
                      <w:lang w:val="en-US" w:eastAsia="zh-CN" w:bidi="ar-SA"/>
                    </w:rPr>
                    <w:t>-2</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1.06×10</w:t>
                  </w:r>
                  <w:r>
                    <w:rPr>
                      <w:rFonts w:hint="eastAsia" w:ascii="Times New Roman" w:hAnsi="Times New Roman" w:eastAsia="宋体" w:cs="Times New Roman"/>
                      <w:kern w:val="2"/>
                      <w:sz w:val="21"/>
                      <w:szCs w:val="21"/>
                      <w:vertAlign w:val="superscript"/>
                      <w:lang w:val="en-US" w:eastAsia="zh-CN" w:bidi="ar-SA"/>
                    </w:rPr>
                    <w:t>-2</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4.3×10</w:t>
                  </w:r>
                  <w:r>
                    <w:rPr>
                      <w:rFonts w:hint="eastAsia" w:ascii="Times New Roman" w:hAnsi="Times New Roman" w:eastAsia="宋体" w:cs="Times New Roman"/>
                      <w:kern w:val="2"/>
                      <w:sz w:val="21"/>
                      <w:szCs w:val="21"/>
                      <w:vertAlign w:val="superscript"/>
                      <w:lang w:val="en-US" w:eastAsia="zh-CN" w:bidi="ar-SA"/>
                    </w:rPr>
                    <w:t>-3</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sz w:val="21"/>
                      <w:szCs w:val="21"/>
                    </w:rPr>
                    <w:t>总氰化物</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sz w:val="21"/>
                      <w:szCs w:val="21"/>
                    </w:rPr>
                    <w:t>挥发酚</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sz w:val="21"/>
                      <w:szCs w:val="21"/>
                    </w:rPr>
                    <w:t>四氯乙烯</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0.318</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0.343</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0.306</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0.382</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氨氮</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0.122</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0.112</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0.134</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0.125</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总氮</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1.49</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1.53</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1.44</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1.42</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总磷（以P计）</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3.89</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3.92</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3.95</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3.93</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8" w:type="pct"/>
                  <w:noWrap w:val="0"/>
                  <w:vAlign w:val="center"/>
                </w:tcPr>
                <w:p>
                  <w:pPr>
                    <w:adjustRightInd w:val="0"/>
                    <w:snapToGrid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color w:val="000000"/>
                      <w:sz w:val="21"/>
                      <w:szCs w:val="21"/>
                    </w:rPr>
                    <w:t>石油类</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0.16</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0.12</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0.12</w:t>
                  </w:r>
                </w:p>
              </w:tc>
              <w:tc>
                <w:tcPr>
                  <w:tcW w:w="694"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0.10</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15</w:t>
                  </w:r>
                </w:p>
              </w:tc>
            </w:tr>
          </w:tbl>
          <w:p>
            <w:pPr>
              <w:pStyle w:val="2"/>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b/>
                <w:bCs/>
                <w:sz w:val="21"/>
                <w:szCs w:val="21"/>
              </w:rPr>
              <w:t>表7-</w:t>
            </w:r>
            <w:r>
              <w:rPr>
                <w:rFonts w:hint="eastAsia" w:ascii="Times New Roman" w:hAnsi="Times New Roman" w:cs="Times New Roman"/>
                <w:b/>
                <w:bCs/>
                <w:sz w:val="21"/>
                <w:szCs w:val="21"/>
                <w:lang w:val="en-US" w:eastAsia="zh-CN"/>
              </w:rPr>
              <w:t>8</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sz w:val="21"/>
                <w:szCs w:val="21"/>
                <w:lang w:eastAsia="zh-CN"/>
              </w:rPr>
              <w:t>废水检测</w:t>
            </w:r>
            <w:r>
              <w:rPr>
                <w:rFonts w:hint="default" w:ascii="Times New Roman" w:hAnsi="Times New Roman" w:eastAsia="宋体" w:cs="Times New Roman"/>
                <w:b/>
                <w:bCs/>
                <w:sz w:val="21"/>
                <w:szCs w:val="21"/>
              </w:rPr>
              <w:t>结果表</w:t>
            </w:r>
          </w:p>
          <w:tbl>
            <w:tblPr>
              <w:tblStyle w:val="21"/>
              <w:tblW w:w="4995"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89"/>
              <w:gridCol w:w="956"/>
              <w:gridCol w:w="1144"/>
              <w:gridCol w:w="1144"/>
              <w:gridCol w:w="1144"/>
              <w:gridCol w:w="1155"/>
              <w:gridCol w:w="14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53"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采样日期：</w:t>
                  </w:r>
                  <w:r>
                    <w:rPr>
                      <w:rFonts w:hint="eastAsia" w:ascii="Times New Roman" w:hAnsi="Times New Roman" w:eastAsia="宋体" w:cs="Times New Roman"/>
                      <w:b w:val="0"/>
                      <w:bCs w:val="0"/>
                      <w:sz w:val="21"/>
                      <w:szCs w:val="21"/>
                      <w:vertAlign w:val="baseline"/>
                      <w:lang w:val="en-US" w:eastAsia="zh-CN"/>
                    </w:rPr>
                    <w:t>2023.12.19</w:t>
                  </w:r>
                </w:p>
              </w:tc>
              <w:tc>
                <w:tcPr>
                  <w:tcW w:w="2763" w:type="pct"/>
                  <w:gridSpan w:val="4"/>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val="0"/>
                      <w:kern w:val="2"/>
                      <w:sz w:val="21"/>
                      <w:szCs w:val="21"/>
                      <w:vertAlign w:val="baseline"/>
                      <w:lang w:val="en-US" w:eastAsia="zh-CN" w:bidi="ar-SA"/>
                    </w:rPr>
                  </w:pPr>
                  <w:r>
                    <w:rPr>
                      <w:rFonts w:hint="default" w:ascii="Times New Roman" w:hAnsi="Times New Roman" w:eastAsia="宋体" w:cs="Times New Roman"/>
                      <w:b w:val="0"/>
                      <w:bCs w:val="0"/>
                      <w:kern w:val="2"/>
                      <w:sz w:val="21"/>
                      <w:szCs w:val="21"/>
                      <w:vertAlign w:val="baseline"/>
                      <w:lang w:val="en-US" w:eastAsia="zh-CN" w:bidi="ar-SA"/>
                    </w:rPr>
                    <w:t>总排口</w:t>
                  </w:r>
                </w:p>
              </w:tc>
              <w:tc>
                <w:tcPr>
                  <w:tcW w:w="883" w:type="pct"/>
                  <w:vMerge w:val="restar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标准限值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检测项目</w:t>
                  </w:r>
                </w:p>
              </w:tc>
              <w:tc>
                <w:tcPr>
                  <w:tcW w:w="576"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单位</w:t>
                  </w:r>
                </w:p>
              </w:tc>
              <w:tc>
                <w:tcPr>
                  <w:tcW w:w="689"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第一次</w:t>
                  </w:r>
                </w:p>
              </w:tc>
              <w:tc>
                <w:tcPr>
                  <w:tcW w:w="689"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第二次</w:t>
                  </w:r>
                </w:p>
              </w:tc>
              <w:tc>
                <w:tcPr>
                  <w:tcW w:w="689"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第三次</w:t>
                  </w:r>
                </w:p>
              </w:tc>
              <w:tc>
                <w:tcPr>
                  <w:tcW w:w="695"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sz w:val="21"/>
                      <w:szCs w:val="21"/>
                      <w:vertAlign w:val="baseline"/>
                      <w:lang w:val="en-US" w:eastAsia="zh-CN"/>
                    </w:rPr>
                    <w:t>第四次</w:t>
                  </w:r>
                </w:p>
              </w:tc>
              <w:tc>
                <w:tcPr>
                  <w:tcW w:w="883" w:type="pct"/>
                  <w:vMerge w:val="continue"/>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bCs/>
                      <w:sz w:val="21"/>
                      <w:szCs w:val="21"/>
                    </w:rPr>
                    <w:t>pH</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无量纲</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7.8</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7.8</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7.9</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7.8</w:t>
                  </w:r>
                </w:p>
              </w:tc>
              <w:tc>
                <w:tcPr>
                  <w:tcW w:w="883"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COD</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349</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357</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341</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340</w:t>
                  </w:r>
                </w:p>
              </w:tc>
              <w:tc>
                <w:tcPr>
                  <w:tcW w:w="883" w:type="pct"/>
                  <w:noWrap w:val="0"/>
                  <w:vAlign w:val="center"/>
                </w:tcPr>
                <w:p>
                  <w:pPr>
                    <w:pStyle w:val="3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sz w:val="21"/>
                      <w:szCs w:val="21"/>
                      <w:vertAlign w:val="baseline"/>
                      <w:lang w:val="en-US" w:eastAsia="zh-CN"/>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SS</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9</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8</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10</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12</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400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color w:val="000000"/>
                      <w:sz w:val="21"/>
                      <w:szCs w:val="21"/>
                    </w:rPr>
                    <w:t>甲醛</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0.07</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0..06</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0.07</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0.08</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sz w:val="21"/>
                      <w:szCs w:val="21"/>
                    </w:rPr>
                    <w:t>三氯甲烷</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2.4×10</w:t>
                  </w:r>
                  <w:r>
                    <w:rPr>
                      <w:rFonts w:hint="eastAsia" w:ascii="Times New Roman" w:hAnsi="Times New Roman" w:eastAsia="宋体" w:cs="Times New Roman"/>
                      <w:kern w:val="2"/>
                      <w:sz w:val="21"/>
                      <w:szCs w:val="21"/>
                      <w:vertAlign w:val="superscript"/>
                      <w:lang w:val="en-US" w:eastAsia="zh-CN" w:bidi="ar-SA"/>
                    </w:rPr>
                    <w:t>-3</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3.5×10</w:t>
                  </w:r>
                  <w:r>
                    <w:rPr>
                      <w:rFonts w:hint="eastAsia" w:ascii="Times New Roman" w:hAnsi="Times New Roman" w:eastAsia="宋体" w:cs="Times New Roman"/>
                      <w:kern w:val="2"/>
                      <w:sz w:val="21"/>
                      <w:szCs w:val="21"/>
                      <w:vertAlign w:val="superscript"/>
                      <w:lang w:val="en-US" w:eastAsia="zh-CN" w:bidi="ar-SA"/>
                    </w:rPr>
                    <w:t>-3</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2.8×10</w:t>
                  </w:r>
                  <w:r>
                    <w:rPr>
                      <w:rFonts w:hint="eastAsia" w:ascii="Times New Roman" w:hAnsi="Times New Roman" w:eastAsia="宋体" w:cs="Times New Roman"/>
                      <w:kern w:val="2"/>
                      <w:sz w:val="21"/>
                      <w:szCs w:val="21"/>
                      <w:vertAlign w:val="superscript"/>
                      <w:lang w:val="en-US" w:eastAsia="zh-CN" w:bidi="ar-SA"/>
                    </w:rPr>
                    <w:t>-3</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3.2×10</w:t>
                  </w:r>
                  <w:r>
                    <w:rPr>
                      <w:rFonts w:hint="eastAsia" w:ascii="Times New Roman" w:hAnsi="Times New Roman" w:eastAsia="宋体" w:cs="Times New Roman"/>
                      <w:kern w:val="2"/>
                      <w:sz w:val="21"/>
                      <w:szCs w:val="21"/>
                      <w:vertAlign w:val="superscript"/>
                      <w:lang w:val="en-US" w:eastAsia="zh-CN" w:bidi="ar-SA"/>
                    </w:rPr>
                    <w:t>-3</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sz w:val="21"/>
                      <w:szCs w:val="21"/>
                    </w:rPr>
                    <w:t>总氰化物</w:t>
                  </w:r>
                </w:p>
              </w:tc>
              <w:tc>
                <w:tcPr>
                  <w:tcW w:w="576" w:type="pct"/>
                  <w:noWrap w:val="0"/>
                  <w:vAlign w:val="center"/>
                </w:tcPr>
                <w:p>
                  <w:pPr>
                    <w:pStyle w:val="28"/>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sz w:val="21"/>
                      <w:szCs w:val="21"/>
                    </w:rPr>
                    <w:t>挥发酚</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ND</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sz w:val="21"/>
                      <w:szCs w:val="21"/>
                    </w:rPr>
                    <w:t>四氯乙烯</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0.272</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0.458</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0.322</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0.352</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氨氮</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0.107</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0.113</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0.128</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0.134</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总氮</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1.47</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1.53</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1.51</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1.48</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总磷（以P计）</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4.05</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3.99</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4.09</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4.08</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7" w:type="pct"/>
                  <w:noWrap w:val="0"/>
                  <w:vAlign w:val="center"/>
                </w:tcPr>
                <w:p>
                  <w:pPr>
                    <w:adjustRightInd w:val="0"/>
                    <w:snapToGrid w:val="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color w:val="000000"/>
                      <w:sz w:val="21"/>
                      <w:szCs w:val="21"/>
                    </w:rPr>
                    <w:t>石油类</w:t>
                  </w:r>
                </w:p>
              </w:tc>
              <w:tc>
                <w:tcPr>
                  <w:tcW w:w="576" w:type="pct"/>
                  <w:noWrap w:val="0"/>
                  <w:vAlign w:val="center"/>
                </w:tcPr>
                <w:p>
                  <w:pPr>
                    <w:keepNext w:val="0"/>
                    <w:keepLines w:val="0"/>
                    <w:pageBreakBefore w:val="0"/>
                    <w:kinsoku w:val="0"/>
                    <w:wordWrap/>
                    <w:overflowPunct w:val="0"/>
                    <w:topLinePunct w:val="0"/>
                    <w:autoSpaceDE/>
                    <w:autoSpaceDN/>
                    <w:bidi w:val="0"/>
                    <w:adjustRightInd/>
                    <w:snapToGrid/>
                    <w:spacing w:before="0" w:line="240" w:lineRule="auto"/>
                    <w:ind w:left="0" w:lef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rPr>
                    <w:t>g/</w:t>
                  </w:r>
                  <w:r>
                    <w:rPr>
                      <w:rFonts w:hint="default" w:ascii="Times New Roman" w:hAnsi="Times New Roman" w:eastAsia="宋体" w:cs="Times New Roman"/>
                      <w:color w:val="auto"/>
                      <w:sz w:val="21"/>
                      <w:szCs w:val="21"/>
                      <w:lang w:val="en-US" w:eastAsia="zh-CN"/>
                    </w:rPr>
                    <w:t>L</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0.10</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0.11</w:t>
                  </w:r>
                </w:p>
              </w:tc>
              <w:tc>
                <w:tcPr>
                  <w:tcW w:w="689"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0.10</w:t>
                  </w:r>
                </w:p>
              </w:tc>
              <w:tc>
                <w:tcPr>
                  <w:tcW w:w="695"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0.10</w:t>
                  </w:r>
                </w:p>
              </w:tc>
              <w:tc>
                <w:tcPr>
                  <w:tcW w:w="883" w:type="pct"/>
                  <w:noWrap w:val="0"/>
                  <w:vAlign w:val="center"/>
                </w:tcPr>
                <w:p>
                  <w:pPr>
                    <w:ind w:left="0" w:leftChars="0"/>
                    <w:jc w:val="center"/>
                    <w:rPr>
                      <w:rFonts w:hint="default"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kern w:val="2"/>
                      <w:sz w:val="21"/>
                      <w:szCs w:val="21"/>
                      <w:vertAlign w:val="baseline"/>
                      <w:lang w:val="en-US" w:eastAsia="zh-CN" w:bidi="ar-SA"/>
                    </w:rPr>
                    <w:t>15</w:t>
                  </w:r>
                </w:p>
              </w:tc>
            </w:tr>
          </w:tbl>
          <w:p>
            <w:pPr>
              <w:pStyle w:val="2"/>
              <w:numPr>
                <w:ilvl w:val="0"/>
                <w:numId w:val="0"/>
              </w:numPr>
              <w:spacing w:line="360" w:lineRule="auto"/>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color w:val="000000"/>
                <w:sz w:val="24"/>
                <w:szCs w:val="24"/>
                <w:lang w:val="en-US" w:eastAsia="zh-CN" w:bidi="ar-SA"/>
              </w:rPr>
              <w:t>3、</w:t>
            </w:r>
            <w:r>
              <w:rPr>
                <w:rFonts w:hint="default" w:ascii="Times New Roman" w:hAnsi="Times New Roman" w:eastAsia="宋体" w:cs="Times New Roman"/>
                <w:b w:val="0"/>
                <w:bCs/>
                <w:lang w:val="en-US" w:eastAsia="zh-CN"/>
              </w:rPr>
              <w:t>噪声监测</w:t>
            </w:r>
          </w:p>
          <w:p>
            <w:pPr>
              <w:pStyle w:val="33"/>
              <w:spacing w:line="360" w:lineRule="auto"/>
              <w:rPr>
                <w:rFonts w:hint="default" w:ascii="Times New Roman" w:hAnsi="Times New Roman" w:eastAsia="宋体" w:cs="Times New Roman"/>
              </w:rPr>
            </w:pPr>
            <w:r>
              <w:rPr>
                <w:rFonts w:hint="default" w:ascii="Times New Roman" w:hAnsi="Times New Roman" w:eastAsia="宋体" w:cs="Times New Roman"/>
              </w:rPr>
              <w:t>厂界噪声测量结果见表</w:t>
            </w:r>
            <w:r>
              <w:rPr>
                <w:rFonts w:hint="default" w:ascii="Times New Roman" w:hAnsi="Times New Roman" w:eastAsia="宋体" w:cs="Times New Roman"/>
                <w:lang w:val="en-US" w:eastAsia="zh-CN"/>
              </w:rPr>
              <w:t>7-</w:t>
            </w:r>
            <w:r>
              <w:rPr>
                <w:rFonts w:hint="eastAsia" w:ascii="Times New Roman" w:hAnsi="Times New Roman" w:eastAsia="宋体" w:cs="Times New Roman"/>
                <w:lang w:val="en-US" w:eastAsia="zh-CN"/>
              </w:rPr>
              <w:t>9</w:t>
            </w:r>
            <w:r>
              <w:rPr>
                <w:rFonts w:hint="default" w:ascii="Times New Roman" w:hAnsi="Times New Roman" w:eastAsia="宋体" w:cs="Times New Roman"/>
              </w:rPr>
              <w:t>。</w:t>
            </w:r>
          </w:p>
          <w:p>
            <w:pPr>
              <w:jc w:val="center"/>
              <w:rPr>
                <w:rFonts w:hint="default" w:ascii="Times New Roman" w:hAnsi="Times New Roman" w:eastAsia="宋体" w:cs="Times New Roman"/>
                <w:b/>
                <w:lang w:val="en-US" w:eastAsia="zh-CN"/>
              </w:rPr>
            </w:pPr>
            <w:r>
              <w:rPr>
                <w:rFonts w:hint="default" w:ascii="Times New Roman" w:hAnsi="Times New Roman" w:eastAsia="宋体" w:cs="Times New Roman"/>
                <w:b/>
              </w:rPr>
              <w:t>表7-</w:t>
            </w:r>
            <w:r>
              <w:rPr>
                <w:rFonts w:hint="eastAsia" w:ascii="Times New Roman" w:hAnsi="Times New Roman" w:eastAsia="宋体" w:cs="Times New Roman"/>
                <w:b/>
                <w:lang w:val="en-US" w:eastAsia="zh-CN"/>
              </w:rPr>
              <w:t>9</w:t>
            </w:r>
            <w:r>
              <w:rPr>
                <w:rFonts w:hint="default" w:ascii="Times New Roman" w:hAnsi="Times New Roman" w:eastAsia="宋体" w:cs="Times New Roman"/>
                <w:b/>
                <w:lang w:val="en-US" w:eastAsia="zh-CN"/>
              </w:rPr>
              <w:t xml:space="preserve"> </w:t>
            </w:r>
            <w:r>
              <w:rPr>
                <w:rFonts w:hint="default" w:ascii="Times New Roman" w:hAnsi="Times New Roman" w:eastAsia="宋体" w:cs="Times New Roman"/>
                <w:b/>
              </w:rPr>
              <w:t xml:space="preserve"> 厂界噪声测量结果表</w:t>
            </w:r>
          </w:p>
          <w:tbl>
            <w:tblPr>
              <w:tblStyle w:val="20"/>
              <w:tblW w:w="4995"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1512"/>
              <w:gridCol w:w="1147"/>
              <w:gridCol w:w="1161"/>
              <w:gridCol w:w="1161"/>
              <w:gridCol w:w="916"/>
              <w:gridCol w:w="140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18" w:type="pct"/>
                  <w:vMerge w:val="restart"/>
                  <w:noWrap w:val="0"/>
                  <w:vAlign w:val="center"/>
                </w:tcPr>
                <w:p>
                  <w:pPr>
                    <w:tabs>
                      <w:tab w:val="left" w:pos="3163"/>
                    </w:tabs>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测点编号</w:t>
                  </w:r>
                </w:p>
              </w:tc>
              <w:tc>
                <w:tcPr>
                  <w:tcW w:w="929" w:type="pct"/>
                  <w:vMerge w:val="restart"/>
                  <w:noWrap w:val="0"/>
                  <w:vAlign w:val="center"/>
                </w:tcPr>
                <w:p>
                  <w:pPr>
                    <w:tabs>
                      <w:tab w:val="left" w:pos="3163"/>
                    </w:tabs>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测点位置</w:t>
                  </w:r>
                </w:p>
              </w:tc>
              <w:tc>
                <w:tcPr>
                  <w:tcW w:w="709" w:type="pct"/>
                  <w:vMerge w:val="restart"/>
                  <w:noWrap w:val="0"/>
                  <w:vAlign w:val="center"/>
                </w:tcPr>
                <w:p>
                  <w:pPr>
                    <w:tabs>
                      <w:tab w:val="left" w:pos="3163"/>
                    </w:tabs>
                    <w:jc w:val="center"/>
                    <w:rPr>
                      <w:rFonts w:hint="eastAsia" w:ascii="Times New Roman" w:hAnsi="Times New Roman" w:eastAsia="宋体" w:cs="Times New Roman"/>
                      <w:b/>
                      <w:sz w:val="21"/>
                      <w:szCs w:val="21"/>
                      <w:lang w:val="en-US" w:eastAsia="zh-CN"/>
                    </w:rPr>
                  </w:pPr>
                  <w:r>
                    <w:rPr>
                      <w:rFonts w:hint="eastAsia" w:ascii="Times New Roman" w:hAnsi="Times New Roman" w:eastAsia="宋体" w:cs="Times New Roman"/>
                      <w:b/>
                      <w:sz w:val="21"/>
                      <w:szCs w:val="21"/>
                      <w:lang w:val="en-US" w:eastAsia="zh-CN"/>
                    </w:rPr>
                    <w:t>单位</w:t>
                  </w:r>
                </w:p>
              </w:tc>
              <w:tc>
                <w:tcPr>
                  <w:tcW w:w="1308" w:type="pct"/>
                  <w:gridSpan w:val="2"/>
                  <w:noWrap w:val="0"/>
                  <w:vAlign w:val="center"/>
                </w:tcPr>
                <w:p>
                  <w:pPr>
                    <w:tabs>
                      <w:tab w:val="left" w:pos="3163"/>
                    </w:tabs>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检测</w:t>
                  </w:r>
                  <w:r>
                    <w:rPr>
                      <w:rFonts w:hint="eastAsia" w:ascii="Times New Roman" w:hAnsi="Times New Roman" w:eastAsia="宋体" w:cs="Times New Roman"/>
                      <w:b/>
                      <w:sz w:val="21"/>
                      <w:szCs w:val="21"/>
                      <w:lang w:val="en-US" w:eastAsia="zh-CN"/>
                    </w:rPr>
                    <w:t>时间</w:t>
                  </w:r>
                </w:p>
              </w:tc>
              <w:tc>
                <w:tcPr>
                  <w:tcW w:w="570" w:type="pct"/>
                  <w:vMerge w:val="restart"/>
                  <w:noWrap w:val="0"/>
                  <w:vAlign w:val="center"/>
                </w:tcPr>
                <w:p>
                  <w:pPr>
                    <w:tabs>
                      <w:tab w:val="left" w:pos="3163"/>
                    </w:tabs>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lang w:val="en-US" w:eastAsia="zh-CN"/>
                    </w:rPr>
                    <w:t>执行标准</w:t>
                  </w:r>
                </w:p>
              </w:tc>
              <w:tc>
                <w:tcPr>
                  <w:tcW w:w="864" w:type="pct"/>
                  <w:vMerge w:val="restart"/>
                  <w:noWrap w:val="0"/>
                  <w:vAlign w:val="center"/>
                </w:tcPr>
                <w:p>
                  <w:pPr>
                    <w:tabs>
                      <w:tab w:val="left" w:pos="3163"/>
                    </w:tabs>
                    <w:jc w:val="center"/>
                    <w:rPr>
                      <w:rFonts w:hint="default" w:ascii="Times New Roman" w:hAnsi="Times New Roman" w:eastAsia="宋体" w:cs="Times New Roman"/>
                      <w:b/>
                      <w:bCs w:val="0"/>
                      <w:sz w:val="21"/>
                      <w:szCs w:val="21"/>
                      <w:lang w:eastAsia="zh-CN"/>
                    </w:rPr>
                  </w:pPr>
                  <w:r>
                    <w:rPr>
                      <w:rFonts w:hint="default" w:ascii="Times New Roman" w:hAnsi="Times New Roman" w:eastAsia="宋体" w:cs="Times New Roman"/>
                      <w:b/>
                      <w:bCs w:val="0"/>
                      <w:sz w:val="21"/>
                      <w:szCs w:val="21"/>
                      <w:lang w:eastAsia="zh-CN"/>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18" w:type="pct"/>
                  <w:vMerge w:val="continue"/>
                  <w:noWrap w:val="0"/>
                  <w:vAlign w:val="center"/>
                </w:tcPr>
                <w:p>
                  <w:pPr>
                    <w:tabs>
                      <w:tab w:val="left" w:pos="3163"/>
                    </w:tabs>
                    <w:jc w:val="center"/>
                  </w:pPr>
                </w:p>
              </w:tc>
              <w:tc>
                <w:tcPr>
                  <w:tcW w:w="929" w:type="pct"/>
                  <w:vMerge w:val="continue"/>
                  <w:noWrap w:val="0"/>
                  <w:vAlign w:val="center"/>
                </w:tcPr>
                <w:p>
                  <w:pPr>
                    <w:tabs>
                      <w:tab w:val="left" w:pos="3163"/>
                    </w:tabs>
                    <w:jc w:val="center"/>
                  </w:pPr>
                </w:p>
              </w:tc>
              <w:tc>
                <w:tcPr>
                  <w:tcW w:w="709" w:type="pct"/>
                  <w:vMerge w:val="continue"/>
                  <w:noWrap w:val="0"/>
                  <w:vAlign w:val="center"/>
                </w:tcPr>
                <w:p>
                  <w:pPr>
                    <w:tabs>
                      <w:tab w:val="left" w:pos="3163"/>
                    </w:tabs>
                    <w:jc w:val="center"/>
                  </w:pPr>
                </w:p>
              </w:tc>
              <w:tc>
                <w:tcPr>
                  <w:tcW w:w="654" w:type="pct"/>
                  <w:noWrap w:val="0"/>
                  <w:vAlign w:val="center"/>
                </w:tcPr>
                <w:p>
                  <w:pPr>
                    <w:tabs>
                      <w:tab w:val="left" w:pos="3163"/>
                    </w:tabs>
                    <w:jc w:val="center"/>
                    <w:rPr>
                      <w:rFonts w:hint="default" w:ascii="Times New Roman" w:hAnsi="Times New Roman" w:eastAsia="宋体" w:cs="Times New Roman"/>
                      <w:b/>
                      <w:sz w:val="21"/>
                      <w:szCs w:val="21"/>
                      <w:lang w:val="en-US" w:eastAsia="zh-CN"/>
                    </w:rPr>
                  </w:pPr>
                  <w:r>
                    <w:rPr>
                      <w:rFonts w:hint="eastAsia" w:ascii="Times New Roman" w:hAnsi="Times New Roman" w:eastAsia="宋体" w:cs="Times New Roman"/>
                      <w:b/>
                      <w:sz w:val="21"/>
                      <w:szCs w:val="21"/>
                      <w:lang w:val="en-US" w:eastAsia="zh-CN"/>
                    </w:rPr>
                    <w:t>2023.12.18</w:t>
                  </w:r>
                </w:p>
              </w:tc>
              <w:tc>
                <w:tcPr>
                  <w:tcW w:w="654" w:type="pct"/>
                  <w:noWrap w:val="0"/>
                  <w:vAlign w:val="center"/>
                </w:tcPr>
                <w:p>
                  <w:pPr>
                    <w:tabs>
                      <w:tab w:val="left" w:pos="3163"/>
                    </w:tabs>
                    <w:jc w:val="center"/>
                    <w:rPr>
                      <w:rFonts w:hint="default" w:ascii="Times New Roman" w:hAnsi="Times New Roman" w:eastAsia="宋体" w:cs="Times New Roman"/>
                      <w:b/>
                      <w:sz w:val="21"/>
                      <w:szCs w:val="21"/>
                      <w:lang w:val="en-US" w:eastAsia="zh-CN"/>
                    </w:rPr>
                  </w:pPr>
                  <w:r>
                    <w:rPr>
                      <w:rFonts w:hint="eastAsia" w:ascii="Times New Roman" w:hAnsi="Times New Roman" w:eastAsia="宋体" w:cs="Times New Roman"/>
                      <w:b/>
                      <w:sz w:val="21"/>
                      <w:szCs w:val="21"/>
                      <w:lang w:val="en-US" w:eastAsia="zh-CN"/>
                    </w:rPr>
                    <w:t>2023.12.19</w:t>
                  </w:r>
                </w:p>
              </w:tc>
              <w:tc>
                <w:tcPr>
                  <w:tcW w:w="570" w:type="pct"/>
                  <w:vMerge w:val="continue"/>
                  <w:noWrap w:val="0"/>
                  <w:vAlign w:val="center"/>
                </w:tcPr>
                <w:p>
                  <w:pPr>
                    <w:tabs>
                      <w:tab w:val="left" w:pos="3163"/>
                    </w:tabs>
                    <w:jc w:val="center"/>
                    <w:rPr>
                      <w:rFonts w:hint="default" w:ascii="Times New Roman" w:hAnsi="Times New Roman" w:eastAsia="宋体" w:cs="Times New Roman"/>
                      <w:b/>
                      <w:sz w:val="21"/>
                      <w:szCs w:val="21"/>
                    </w:rPr>
                  </w:pPr>
                </w:p>
              </w:tc>
              <w:tc>
                <w:tcPr>
                  <w:tcW w:w="864" w:type="pct"/>
                  <w:vMerge w:val="continue"/>
                  <w:noWrap w:val="0"/>
                  <w:vAlign w:val="center"/>
                </w:tcPr>
                <w:p>
                  <w:pPr>
                    <w:tabs>
                      <w:tab w:val="left" w:pos="3163"/>
                    </w:tabs>
                    <w:jc w:val="center"/>
                    <w:rPr>
                      <w:rFonts w:hint="default" w:ascii="Times New Roman" w:hAnsi="Times New Roman" w:eastAsia="宋体" w:cs="Times New Roman"/>
                      <w:b/>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8" w:type="pct"/>
                  <w:noWrap w:val="0"/>
                  <w:vAlign w:val="center"/>
                </w:tcPr>
                <w:p>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Z1</w:t>
                  </w:r>
                </w:p>
              </w:tc>
              <w:tc>
                <w:tcPr>
                  <w:tcW w:w="929" w:type="pct"/>
                  <w:noWrap w:val="0"/>
                  <w:vAlign w:val="center"/>
                </w:tcPr>
                <w:p>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东厂界外1米</w:t>
                  </w:r>
                </w:p>
              </w:tc>
              <w:tc>
                <w:tcPr>
                  <w:tcW w:w="709" w:type="pct"/>
                  <w:noWrap w:val="0"/>
                  <w:vAlign w:val="center"/>
                </w:tcPr>
                <w:p>
                  <w:pPr>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dB(A)</w:t>
                  </w:r>
                </w:p>
              </w:tc>
              <w:tc>
                <w:tcPr>
                  <w:tcW w:w="654" w:type="pct"/>
                  <w:noWrap w:val="0"/>
                  <w:vAlign w:val="center"/>
                </w:tcPr>
                <w:p>
                  <w:pPr>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52</w:t>
                  </w:r>
                </w:p>
              </w:tc>
              <w:tc>
                <w:tcPr>
                  <w:tcW w:w="654" w:type="pct"/>
                  <w:noWrap w:val="0"/>
                  <w:vAlign w:val="center"/>
                </w:tcPr>
                <w:p>
                  <w:pPr>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53</w:t>
                  </w:r>
                </w:p>
              </w:tc>
              <w:tc>
                <w:tcPr>
                  <w:tcW w:w="570" w:type="pct"/>
                  <w:vMerge w:val="restart"/>
                  <w:noWrap w:val="0"/>
                  <w:vAlign w:val="center"/>
                </w:tcPr>
                <w:p>
                  <w:pPr>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60</w:t>
                  </w:r>
                </w:p>
              </w:tc>
              <w:tc>
                <w:tcPr>
                  <w:tcW w:w="864" w:type="pct"/>
                  <w:noWrap w:val="0"/>
                  <w:vAlign w:val="center"/>
                </w:tcPr>
                <w:p>
                  <w:pPr>
                    <w:snapToGrid w:val="0"/>
                    <w:jc w:val="center"/>
                    <w:rPr>
                      <w:rFonts w:hint="default"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8" w:type="pct"/>
                  <w:noWrap w:val="0"/>
                  <w:vAlign w:val="center"/>
                </w:tcPr>
                <w:p>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Z2</w:t>
                  </w:r>
                </w:p>
              </w:tc>
              <w:tc>
                <w:tcPr>
                  <w:tcW w:w="929" w:type="pct"/>
                  <w:noWrap w:val="0"/>
                  <w:vAlign w:val="center"/>
                </w:tcPr>
                <w:p>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南厂界外1米</w:t>
                  </w:r>
                </w:p>
              </w:tc>
              <w:tc>
                <w:tcPr>
                  <w:tcW w:w="709" w:type="pct"/>
                  <w:noWrap w:val="0"/>
                  <w:vAlign w:val="center"/>
                </w:tcPr>
                <w:p>
                  <w:pPr>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dB(A)</w:t>
                  </w:r>
                </w:p>
              </w:tc>
              <w:tc>
                <w:tcPr>
                  <w:tcW w:w="654" w:type="pct"/>
                  <w:noWrap w:val="0"/>
                  <w:vAlign w:val="center"/>
                </w:tcPr>
                <w:p>
                  <w:pPr>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48</w:t>
                  </w:r>
                </w:p>
              </w:tc>
              <w:tc>
                <w:tcPr>
                  <w:tcW w:w="654" w:type="pct"/>
                  <w:noWrap w:val="0"/>
                  <w:vAlign w:val="center"/>
                </w:tcPr>
                <w:p>
                  <w:pPr>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51</w:t>
                  </w:r>
                </w:p>
              </w:tc>
              <w:tc>
                <w:tcPr>
                  <w:tcW w:w="570" w:type="pct"/>
                  <w:vMerge w:val="continue"/>
                  <w:noWrap w:val="0"/>
                  <w:vAlign w:val="center"/>
                </w:tcPr>
                <w:p>
                  <w:pPr>
                    <w:snapToGrid w:val="0"/>
                    <w:jc w:val="center"/>
                    <w:rPr>
                      <w:rFonts w:hint="default" w:ascii="Times New Roman" w:hAnsi="Times New Roman" w:eastAsia="宋体" w:cs="Times New Roman"/>
                      <w:sz w:val="21"/>
                      <w:szCs w:val="21"/>
                      <w:lang w:val="en-US" w:eastAsia="zh-CN"/>
                    </w:rPr>
                  </w:pPr>
                </w:p>
              </w:tc>
              <w:tc>
                <w:tcPr>
                  <w:tcW w:w="864" w:type="pct"/>
                  <w:noWrap w:val="0"/>
                  <w:vAlign w:val="center"/>
                </w:tcPr>
                <w:p>
                  <w:pPr>
                    <w:snapToGrid w:val="0"/>
                    <w:jc w:val="center"/>
                    <w:rPr>
                      <w:rFonts w:hint="default"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8" w:type="pct"/>
                  <w:noWrap w:val="0"/>
                  <w:vAlign w:val="center"/>
                </w:tcPr>
                <w:p>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Z3</w:t>
                  </w:r>
                </w:p>
              </w:tc>
              <w:tc>
                <w:tcPr>
                  <w:tcW w:w="929" w:type="pct"/>
                  <w:noWrap w:val="0"/>
                  <w:vAlign w:val="center"/>
                </w:tcPr>
                <w:p>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西厂界外1米</w:t>
                  </w:r>
                </w:p>
              </w:tc>
              <w:tc>
                <w:tcPr>
                  <w:tcW w:w="709" w:type="pct"/>
                  <w:noWrap w:val="0"/>
                  <w:vAlign w:val="center"/>
                </w:tcPr>
                <w:p>
                  <w:pPr>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dB(A)</w:t>
                  </w:r>
                </w:p>
              </w:tc>
              <w:tc>
                <w:tcPr>
                  <w:tcW w:w="654" w:type="pct"/>
                  <w:noWrap w:val="0"/>
                  <w:vAlign w:val="center"/>
                </w:tcPr>
                <w:p>
                  <w:pPr>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56</w:t>
                  </w:r>
                </w:p>
              </w:tc>
              <w:tc>
                <w:tcPr>
                  <w:tcW w:w="654" w:type="pct"/>
                  <w:noWrap w:val="0"/>
                  <w:vAlign w:val="center"/>
                </w:tcPr>
                <w:p>
                  <w:pPr>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53</w:t>
                  </w:r>
                </w:p>
              </w:tc>
              <w:tc>
                <w:tcPr>
                  <w:tcW w:w="570" w:type="pct"/>
                  <w:vMerge w:val="continue"/>
                  <w:noWrap w:val="0"/>
                  <w:vAlign w:val="center"/>
                </w:tcPr>
                <w:p>
                  <w:pPr>
                    <w:snapToGrid w:val="0"/>
                    <w:jc w:val="center"/>
                    <w:rPr>
                      <w:rFonts w:hint="default" w:ascii="Times New Roman" w:hAnsi="Times New Roman" w:eastAsia="宋体" w:cs="Times New Roman"/>
                      <w:sz w:val="21"/>
                      <w:szCs w:val="21"/>
                      <w:lang w:val="en-US" w:eastAsia="zh-CN"/>
                    </w:rPr>
                  </w:pPr>
                </w:p>
              </w:tc>
              <w:tc>
                <w:tcPr>
                  <w:tcW w:w="864" w:type="pct"/>
                  <w:noWrap w:val="0"/>
                  <w:vAlign w:val="center"/>
                </w:tcPr>
                <w:p>
                  <w:pPr>
                    <w:snapToGrid w:val="0"/>
                    <w:jc w:val="center"/>
                    <w:rPr>
                      <w:rFonts w:hint="default"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8" w:type="pct"/>
                  <w:noWrap w:val="0"/>
                  <w:vAlign w:val="center"/>
                </w:tcPr>
                <w:p>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Z4</w:t>
                  </w:r>
                </w:p>
              </w:tc>
              <w:tc>
                <w:tcPr>
                  <w:tcW w:w="929" w:type="pct"/>
                  <w:noWrap w:val="0"/>
                  <w:vAlign w:val="center"/>
                </w:tcPr>
                <w:p>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北厂界外1米</w:t>
                  </w:r>
                </w:p>
              </w:tc>
              <w:tc>
                <w:tcPr>
                  <w:tcW w:w="709" w:type="pct"/>
                  <w:noWrap w:val="0"/>
                  <w:vAlign w:val="center"/>
                </w:tcPr>
                <w:p>
                  <w:pPr>
                    <w:snapToGrid w:val="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dB(A)</w:t>
                  </w:r>
                </w:p>
              </w:tc>
              <w:tc>
                <w:tcPr>
                  <w:tcW w:w="654" w:type="pct"/>
                  <w:noWrap w:val="0"/>
                  <w:vAlign w:val="center"/>
                </w:tcPr>
                <w:p>
                  <w:pPr>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53</w:t>
                  </w:r>
                </w:p>
              </w:tc>
              <w:tc>
                <w:tcPr>
                  <w:tcW w:w="654" w:type="pct"/>
                  <w:noWrap w:val="0"/>
                  <w:vAlign w:val="center"/>
                </w:tcPr>
                <w:p>
                  <w:pPr>
                    <w:snapToGrid w:val="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53</w:t>
                  </w:r>
                </w:p>
              </w:tc>
              <w:tc>
                <w:tcPr>
                  <w:tcW w:w="570" w:type="pct"/>
                  <w:vMerge w:val="continue"/>
                  <w:noWrap w:val="0"/>
                  <w:vAlign w:val="center"/>
                </w:tcPr>
                <w:p>
                  <w:pPr>
                    <w:snapToGrid w:val="0"/>
                    <w:jc w:val="center"/>
                    <w:rPr>
                      <w:rFonts w:hint="default" w:ascii="Times New Roman" w:hAnsi="Times New Roman" w:eastAsia="宋体" w:cs="Times New Roman"/>
                      <w:sz w:val="21"/>
                      <w:szCs w:val="21"/>
                      <w:lang w:val="en-US" w:eastAsia="zh-CN"/>
                    </w:rPr>
                  </w:pPr>
                </w:p>
              </w:tc>
              <w:tc>
                <w:tcPr>
                  <w:tcW w:w="864" w:type="pct"/>
                  <w:noWrap w:val="0"/>
                  <w:vAlign w:val="center"/>
                </w:tcPr>
                <w:p>
                  <w:pPr>
                    <w:snapToGrid w:val="0"/>
                    <w:jc w:val="center"/>
                    <w:rPr>
                      <w:rFonts w:hint="default" w:ascii="Times New Roman" w:hAnsi="Times New Roman" w:eastAsia="宋体" w:cs="Times New Roman"/>
                      <w:b w:val="0"/>
                      <w:bCs/>
                      <w:sz w:val="21"/>
                      <w:szCs w:val="21"/>
                      <w:lang w:val="en-US" w:eastAsia="zh-CN"/>
                    </w:rPr>
                  </w:pPr>
                  <w:r>
                    <w:rPr>
                      <w:rFonts w:hint="eastAsia" w:ascii="Times New Roman" w:hAnsi="Times New Roman" w:eastAsia="宋体" w:cs="Times New Roman"/>
                      <w:b w:val="0"/>
                      <w:bCs/>
                      <w:sz w:val="21"/>
                      <w:szCs w:val="21"/>
                      <w:lang w:val="en-US" w:eastAsia="zh-CN"/>
                    </w:rPr>
                    <w:t>达标</w:t>
                  </w:r>
                </w:p>
              </w:tc>
            </w:tr>
          </w:tbl>
          <w:p>
            <w:pPr>
              <w:pStyle w:val="2"/>
              <w:numPr>
                <w:ilvl w:val="0"/>
                <w:numId w:val="0"/>
              </w:numPr>
              <w:spacing w:line="360" w:lineRule="auto"/>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污染物排放</w:t>
            </w:r>
            <w:r>
              <w:rPr>
                <w:rFonts w:hint="default" w:ascii="Times New Roman" w:hAnsi="Times New Roman" w:eastAsia="宋体" w:cs="Times New Roman"/>
                <w:b/>
                <w:bCs/>
                <w:highlight w:val="none"/>
                <w:lang w:val="en-US" w:eastAsia="zh-CN"/>
              </w:rPr>
              <w:t>总量核算</w:t>
            </w:r>
            <w:r>
              <w:rPr>
                <w:rFonts w:hint="default" w:ascii="Times New Roman" w:hAnsi="Times New Roman" w:eastAsia="宋体" w:cs="Times New Roman"/>
                <w:b/>
                <w:bCs/>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南通市崇川生态环境局对江苏标普检测科技有限公司新建实验室项目污染物排放总量控制指标做出答复：根据《固定污染源排污许可分类管理名录》，对于污染物产生量、排放量或者对环境的影响程度，不同企业采取不同的排污管理措施。江苏标普检测科技有限公司新建实验室项目未纳入其中112类行业范畴，无需申请排污许可，并且新建项目的水特征污染物及大气特征污染物排放量对环境影响较小，不建议申请总量指标。（文件详见附件）</w:t>
            </w:r>
          </w:p>
          <w:p>
            <w:pPr>
              <w:pStyle w:val="2"/>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default"/>
                <w:lang w:val="en-US" w:eastAsia="zh-CN"/>
              </w:rPr>
            </w:pPr>
            <w:r>
              <w:rPr>
                <w:rFonts w:hint="eastAsia" w:ascii="Times New Roman" w:hAnsi="Times New Roman" w:eastAsia="宋体" w:cs="Times New Roman"/>
                <w:b w:val="0"/>
                <w:bCs/>
                <w:color w:val="auto"/>
                <w:kern w:val="2"/>
                <w:sz w:val="24"/>
                <w:szCs w:val="20"/>
                <w:lang w:val="en-US" w:eastAsia="zh-CN" w:bidi="ar-SA"/>
              </w:rPr>
              <w:t>因此本次验收，不进行污染物排放总量核算。</w:t>
            </w:r>
          </w:p>
        </w:tc>
      </w:tr>
    </w:tbl>
    <w:p>
      <w:pPr>
        <w:rPr>
          <w:rFonts w:hint="eastAsia"/>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bidi w:val="0"/>
        <w:rPr>
          <w:rFonts w:hint="eastAsia" w:ascii="宋体" w:hAnsi="宋体" w:eastAsia="宋体" w:cs="宋体"/>
          <w:sz w:val="32"/>
          <w:szCs w:val="20"/>
          <w:lang w:val="en-US" w:eastAsia="zh-CN"/>
        </w:rPr>
      </w:pPr>
      <w:bookmarkStart w:id="106" w:name="_Toc6677"/>
      <w:r>
        <w:rPr>
          <w:rFonts w:hint="eastAsia" w:ascii="宋体" w:hAnsi="宋体" w:eastAsia="宋体" w:cs="宋体"/>
          <w:sz w:val="32"/>
          <w:szCs w:val="20"/>
          <w:lang w:val="en-US" w:eastAsia="zh-CN"/>
        </w:rPr>
        <w:t>表八</w:t>
      </w:r>
      <w:bookmarkEnd w:id="106"/>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eastAsia" w:ascii="宋体" w:hAnsi="宋体" w:eastAsia="宋体" w:cs="宋体"/>
                <w:b/>
                <w:bCs/>
                <w:sz w:val="24"/>
                <w:szCs w:val="32"/>
                <w:vertAlign w:val="baseline"/>
                <w:lang w:val="en-US" w:eastAsia="zh-CN"/>
              </w:rPr>
            </w:pPr>
            <w:r>
              <w:rPr>
                <w:rFonts w:hint="eastAsia" w:ascii="宋体" w:hAnsi="宋体" w:eastAsia="宋体" w:cs="宋体"/>
                <w:b/>
                <w:bCs/>
                <w:sz w:val="24"/>
                <w:szCs w:val="32"/>
                <w:vertAlign w:val="baseline"/>
                <w:lang w:val="en-US" w:eastAsia="zh-CN"/>
              </w:rPr>
              <w:t>验收监测结论：</w:t>
            </w:r>
          </w:p>
          <w:p>
            <w:pPr>
              <w:adjustRightInd w:val="0"/>
              <w:snapToGrid w:val="0"/>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1、废气监测结论</w:t>
            </w:r>
          </w:p>
          <w:p>
            <w:pPr>
              <w:adjustRightInd w:val="0"/>
              <w:snapToGrid w:val="0"/>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验收监测结果表明，本项目有组织废气经一级碱喷淋装置+</w:t>
            </w:r>
            <w:r>
              <w:rPr>
                <w:rFonts w:hint="default" w:ascii="Times New Roman" w:hAnsi="Times New Roman" w:eastAsia="宋体" w:cs="Times New Roman"/>
                <w:sz w:val="24"/>
                <w:szCs w:val="24"/>
              </w:rPr>
              <w:t>二级活性炭吸附装置处理后</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氯化氢、硫酸雾、氮氧化物等均满足《大气污染物综合排放标准》(DB32/4041-2021)</w:t>
            </w:r>
            <w:r>
              <w:rPr>
                <w:rFonts w:hint="default" w:ascii="Times New Roman" w:hAnsi="Times New Roman" w:eastAsia="宋体" w:cs="Times New Roman"/>
                <w:sz w:val="24"/>
                <w:szCs w:val="24"/>
                <w:lang w:eastAsia="zh-CN"/>
              </w:rPr>
              <w:t>表1</w:t>
            </w:r>
            <w:r>
              <w:rPr>
                <w:rFonts w:hint="default" w:ascii="Times New Roman" w:hAnsi="Times New Roman" w:eastAsia="宋体" w:cs="Times New Roman"/>
                <w:sz w:val="24"/>
                <w:szCs w:val="24"/>
                <w:lang w:val="en-US" w:eastAsia="zh-CN"/>
              </w:rPr>
              <w:t>及表3</w:t>
            </w:r>
            <w:r>
              <w:rPr>
                <w:rFonts w:hint="default" w:ascii="Times New Roman" w:hAnsi="Times New Roman" w:eastAsia="宋体" w:cs="Times New Roman"/>
                <w:sz w:val="24"/>
                <w:szCs w:val="24"/>
                <w:lang w:eastAsia="zh-CN"/>
              </w:rPr>
              <w:t>标准；</w:t>
            </w:r>
            <w:r>
              <w:rPr>
                <w:rFonts w:hint="default" w:ascii="Times New Roman" w:hAnsi="Times New Roman" w:eastAsia="宋体" w:cs="Times New Roman"/>
                <w:sz w:val="24"/>
                <w:szCs w:val="24"/>
                <w:lang w:val="en-US" w:eastAsia="zh-CN"/>
              </w:rPr>
              <w:t>无组织废气均满足</w:t>
            </w:r>
            <w:r>
              <w:rPr>
                <w:rFonts w:hint="default" w:ascii="Times New Roman" w:hAnsi="Times New Roman" w:eastAsia="宋体" w:cs="Times New Roman"/>
                <w:sz w:val="24"/>
                <w:szCs w:val="24"/>
              </w:rPr>
              <w:t>江苏省地方标准《大气污染物综合排放标准》（DB32/4041-2021）</w:t>
            </w:r>
            <w:r>
              <w:rPr>
                <w:rFonts w:hint="default" w:ascii="Times New Roman" w:hAnsi="Times New Roman" w:eastAsia="宋体" w:cs="Times New Roman"/>
                <w:sz w:val="24"/>
                <w:szCs w:val="24"/>
                <w:lang w:eastAsia="zh-CN"/>
              </w:rPr>
              <w:t>表1</w:t>
            </w:r>
            <w:r>
              <w:rPr>
                <w:rFonts w:hint="default" w:ascii="Times New Roman" w:hAnsi="Times New Roman" w:eastAsia="宋体" w:cs="Times New Roman"/>
                <w:sz w:val="24"/>
                <w:szCs w:val="24"/>
                <w:lang w:val="en-US" w:eastAsia="zh-CN"/>
              </w:rPr>
              <w:t>及</w:t>
            </w:r>
            <w:r>
              <w:rPr>
                <w:rFonts w:hint="default" w:ascii="Times New Roman" w:hAnsi="Times New Roman" w:eastAsia="宋体" w:cs="Times New Roman"/>
                <w:sz w:val="24"/>
                <w:szCs w:val="24"/>
              </w:rPr>
              <w:t>表3标准</w:t>
            </w:r>
            <w:r>
              <w:rPr>
                <w:rFonts w:hint="default" w:ascii="Times New Roman" w:hAnsi="Times New Roman" w:eastAsia="宋体" w:cs="Times New Roman"/>
                <w:sz w:val="24"/>
                <w:szCs w:val="24"/>
                <w:lang w:eastAsia="zh-CN"/>
              </w:rPr>
              <w:t>。</w:t>
            </w:r>
          </w:p>
          <w:p>
            <w:pPr>
              <w:adjustRightInd w:val="0"/>
              <w:snapToGrid w:val="0"/>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2、废水监测结论</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验收监测结果表明：本项目</w:t>
            </w:r>
            <w:r>
              <w:rPr>
                <w:rFonts w:hint="default" w:ascii="Times New Roman" w:hAnsi="Times New Roman" w:eastAsia="宋体" w:cs="Times New Roman"/>
                <w:sz w:val="24"/>
                <w:szCs w:val="24"/>
                <w:lang w:val="en-US" w:eastAsia="zh-CN"/>
              </w:rPr>
              <w:t>生活污水经化粪池处理</w:t>
            </w:r>
            <w:r>
              <w:rPr>
                <w:rFonts w:hint="eastAsia" w:ascii="Times New Roman" w:hAnsi="Times New Roman" w:eastAsia="宋体" w:cs="Times New Roman"/>
                <w:sz w:val="24"/>
                <w:szCs w:val="24"/>
                <w:lang w:val="en-US" w:eastAsia="zh-CN"/>
              </w:rPr>
              <w:t>后</w:t>
            </w:r>
            <w:r>
              <w:rPr>
                <w:rFonts w:hint="default" w:ascii="Times New Roman" w:hAnsi="Times New Roman" w:eastAsia="宋体" w:cs="Times New Roman"/>
                <w:sz w:val="24"/>
                <w:szCs w:val="24"/>
                <w:lang w:val="en-US" w:eastAsia="zh-CN"/>
              </w:rPr>
              <w:t>达到接管标准</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pH、COD、SS、</w:t>
            </w:r>
            <w:r>
              <w:rPr>
                <w:rFonts w:hint="eastAsia" w:ascii="Times New Roman" w:hAnsi="Times New Roman" w:eastAsia="宋体" w:cs="Times New Roman"/>
                <w:sz w:val="24"/>
                <w:szCs w:val="24"/>
                <w:lang w:val="en-US" w:eastAsia="zh-CN"/>
              </w:rPr>
              <w:t>甲醛等</w:t>
            </w:r>
            <w:r>
              <w:rPr>
                <w:rFonts w:hint="default" w:ascii="Times New Roman" w:hAnsi="Times New Roman" w:eastAsia="宋体" w:cs="Times New Roman"/>
                <w:sz w:val="24"/>
                <w:szCs w:val="24"/>
                <w:lang w:val="en-US" w:eastAsia="zh-CN"/>
              </w:rPr>
              <w:t>接管标准执行</w:t>
            </w:r>
            <w:r>
              <w:rPr>
                <w:rFonts w:hint="eastAsia" w:ascii="Times New Roman" w:hAnsi="Times New Roman" w:eastAsia="宋体" w:cs="Times New Roman"/>
                <w:sz w:val="24"/>
                <w:szCs w:val="24"/>
                <w:lang w:val="en-US" w:eastAsia="zh-CN"/>
              </w:rPr>
              <w:t>《污水综合排放标准》（GB8978-1996）表4中三级标准</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氨氮、TP、TN等接管标准执行《污水排入城镇下水道水质标准》（GB/T31962-2015）表1中B等级标准，</w:t>
            </w:r>
            <w:r>
              <w:rPr>
                <w:rFonts w:hint="default" w:ascii="Times New Roman" w:hAnsi="Times New Roman" w:eastAsia="宋体" w:cs="Times New Roman"/>
                <w:sz w:val="24"/>
                <w:szCs w:val="24"/>
                <w:lang w:val="en-US" w:eastAsia="zh-CN"/>
              </w:rPr>
              <w:t>污水处理厂尾水排放执行</w:t>
            </w:r>
            <w:r>
              <w:rPr>
                <w:rFonts w:hint="default" w:ascii="Times New Roman" w:hAnsi="Times New Roman" w:eastAsia="宋体" w:cs="Times New Roman"/>
                <w:bCs/>
                <w:sz w:val="24"/>
                <w:szCs w:val="24"/>
              </w:rPr>
              <w:t>《城镇污水处理厂污染物排放标准》（</w:t>
            </w:r>
            <w:r>
              <w:rPr>
                <w:rFonts w:hint="default" w:ascii="Times New Roman" w:hAnsi="Times New Roman" w:eastAsia="宋体" w:cs="Times New Roman"/>
                <w:bCs/>
                <w:sz w:val="24"/>
                <w:szCs w:val="24"/>
                <w:lang w:val="en-US" w:eastAsia="zh-CN"/>
              </w:rPr>
              <w:t>DB32/4440-2022</w:t>
            </w:r>
            <w:r>
              <w:rPr>
                <w:rFonts w:hint="default" w:ascii="Times New Roman" w:hAnsi="Times New Roman" w:eastAsia="宋体" w:cs="Times New Roman"/>
                <w:bCs/>
                <w:sz w:val="24"/>
                <w:szCs w:val="24"/>
              </w:rPr>
              <w:t>）</w:t>
            </w:r>
            <w:r>
              <w:rPr>
                <w:rFonts w:hint="default" w:ascii="Times New Roman" w:hAnsi="Times New Roman" w:eastAsia="宋体" w:cs="Times New Roman"/>
                <w:sz w:val="24"/>
                <w:szCs w:val="24"/>
                <w:lang w:val="en-US" w:eastAsia="zh-CN"/>
              </w:rPr>
              <w:t>表</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中</w:t>
            </w:r>
            <w:r>
              <w:rPr>
                <w:rFonts w:hint="eastAsia" w:ascii="Times New Roman" w:hAnsi="Times New Roman" w:eastAsia="宋体" w:cs="Times New Roman"/>
                <w:sz w:val="24"/>
                <w:szCs w:val="24"/>
                <w:lang w:val="en-US" w:eastAsia="zh-CN"/>
              </w:rPr>
              <w:t>B</w:t>
            </w:r>
            <w:r>
              <w:rPr>
                <w:rFonts w:hint="default" w:ascii="Times New Roman" w:hAnsi="Times New Roman" w:eastAsia="宋体" w:cs="Times New Roman"/>
                <w:sz w:val="24"/>
                <w:szCs w:val="24"/>
                <w:lang w:val="en-US" w:eastAsia="zh-CN"/>
              </w:rPr>
              <w:t>级标准。</w:t>
            </w:r>
          </w:p>
          <w:p>
            <w:pPr>
              <w:adjustRightInd w:val="0"/>
              <w:snapToGrid w:val="0"/>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3、噪声监测结论</w:t>
            </w:r>
          </w:p>
          <w:p>
            <w:pPr>
              <w:adjustRightInd w:val="0"/>
              <w:snapToGrid w:val="0"/>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企业厂界四周昼间噪声值范围为</w:t>
            </w:r>
            <w:r>
              <w:rPr>
                <w:rFonts w:hint="eastAsia" w:ascii="Times New Roman" w:hAnsi="Times New Roman" w:eastAsia="宋体" w:cs="Times New Roman"/>
                <w:sz w:val="24"/>
                <w:szCs w:val="24"/>
                <w:lang w:val="en-US" w:eastAsia="zh-CN"/>
              </w:rPr>
              <w:t>48</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56</w:t>
            </w:r>
            <w:r>
              <w:rPr>
                <w:rFonts w:hint="default" w:ascii="Times New Roman" w:hAnsi="Times New Roman" w:eastAsia="宋体" w:cs="Times New Roman"/>
                <w:sz w:val="24"/>
                <w:szCs w:val="24"/>
              </w:rPr>
              <w:t>dB(A)，检测结果均达到《工业企业厂界环境噪声排放标准》（GB12348-2008）</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类区标准限值要求。</w:t>
            </w:r>
          </w:p>
          <w:p>
            <w:pPr>
              <w:adjustRightInd w:val="0"/>
              <w:snapToGrid w:val="0"/>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4、固废结论</w:t>
            </w:r>
          </w:p>
          <w:p>
            <w:pPr>
              <w:adjustRightInd w:val="0"/>
              <w:snapToGrid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cs="Times New Roman" w:eastAsiaTheme="minorEastAsia"/>
                <w:bCs/>
                <w:sz w:val="24"/>
              </w:rPr>
              <w:t>本项目</w:t>
            </w:r>
            <w:r>
              <w:rPr>
                <w:rFonts w:hint="default" w:ascii="Times New Roman" w:hAnsi="Times New Roman" w:cs="Times New Roman" w:eastAsiaTheme="minorEastAsia"/>
                <w:bCs/>
                <w:sz w:val="24"/>
                <w:szCs w:val="24"/>
              </w:rPr>
              <w:t>产生的一般工业固废</w:t>
            </w:r>
            <w:r>
              <w:rPr>
                <w:rFonts w:hint="default" w:ascii="Times New Roman" w:hAnsi="Times New Roman" w:cs="Times New Roman" w:eastAsiaTheme="minorEastAsia"/>
                <w:bCs/>
                <w:sz w:val="24"/>
                <w:szCs w:val="24"/>
                <w:lang w:val="en-US" w:eastAsia="zh-CN"/>
              </w:rPr>
              <w:t>为废采样瓶</w:t>
            </w:r>
            <w:r>
              <w:rPr>
                <w:rFonts w:hint="eastAsia" w:ascii="Times New Roman" w:hAnsi="Times New Roman" w:cs="Times New Roman"/>
                <w:bCs/>
                <w:sz w:val="24"/>
                <w:szCs w:val="24"/>
                <w:lang w:val="en-US" w:eastAsia="zh-CN"/>
              </w:rPr>
              <w:t>、</w:t>
            </w:r>
            <w:r>
              <w:rPr>
                <w:rFonts w:hint="default" w:ascii="Times New Roman" w:hAnsi="Times New Roman" w:cs="Times New Roman" w:eastAsiaTheme="minorEastAsia"/>
                <w:bCs/>
                <w:sz w:val="24"/>
                <w:szCs w:val="24"/>
                <w:lang w:val="en-US" w:eastAsia="zh-CN"/>
              </w:rPr>
              <w:t>废玻璃瓶</w:t>
            </w:r>
            <w:r>
              <w:rPr>
                <w:rFonts w:hint="eastAsia" w:ascii="Times New Roman" w:hAnsi="Times New Roman" w:cs="Times New Roman"/>
                <w:bCs/>
                <w:sz w:val="24"/>
                <w:szCs w:val="24"/>
                <w:lang w:val="en-US" w:eastAsia="zh-CN"/>
              </w:rPr>
              <w:t>、</w:t>
            </w:r>
            <w:r>
              <w:rPr>
                <w:rFonts w:hint="default" w:ascii="Times New Roman" w:hAnsi="Times New Roman" w:cs="Times New Roman" w:eastAsiaTheme="minorEastAsia"/>
                <w:bCs/>
                <w:sz w:val="24"/>
                <w:szCs w:val="24"/>
                <w:lang w:val="en-US" w:eastAsia="zh-CN"/>
              </w:rPr>
              <w:t>废包装材料</w:t>
            </w:r>
            <w:r>
              <w:rPr>
                <w:rFonts w:hint="eastAsia" w:ascii="Times New Roman" w:hAnsi="Times New Roman" w:cs="Times New Roman"/>
                <w:bCs/>
                <w:sz w:val="24"/>
                <w:szCs w:val="24"/>
                <w:lang w:val="en-US" w:eastAsia="zh-CN"/>
              </w:rPr>
              <w:t>、</w:t>
            </w:r>
            <w:r>
              <w:rPr>
                <w:rFonts w:hint="default" w:ascii="Times New Roman" w:hAnsi="Times New Roman" w:cs="Times New Roman" w:eastAsiaTheme="minorEastAsia"/>
                <w:bCs/>
                <w:sz w:val="24"/>
                <w:szCs w:val="24"/>
                <w:lang w:val="en-US" w:eastAsia="zh-CN"/>
              </w:rPr>
              <w:t>废RO膜</w:t>
            </w:r>
            <w:r>
              <w:rPr>
                <w:rFonts w:hint="eastAsia" w:ascii="Times New Roman" w:hAnsi="Times New Roman" w:cs="Times New Roman"/>
                <w:bCs/>
                <w:sz w:val="24"/>
                <w:szCs w:val="24"/>
                <w:lang w:val="en-US" w:eastAsia="zh-CN"/>
              </w:rPr>
              <w:t>、</w:t>
            </w:r>
            <w:r>
              <w:rPr>
                <w:rFonts w:hint="default" w:ascii="Times New Roman" w:hAnsi="Times New Roman" w:cs="Times New Roman" w:eastAsiaTheme="minorEastAsia"/>
                <w:bCs/>
                <w:sz w:val="24"/>
                <w:szCs w:val="24"/>
                <w:lang w:val="en-US" w:eastAsia="zh-CN"/>
              </w:rPr>
              <w:t>废土壤，</w:t>
            </w:r>
            <w:r>
              <w:rPr>
                <w:rFonts w:hint="default" w:ascii="Times New Roman" w:hAnsi="Times New Roman" w:cs="Times New Roman" w:eastAsiaTheme="minorEastAsia"/>
                <w:bCs/>
                <w:sz w:val="24"/>
                <w:szCs w:val="24"/>
              </w:rPr>
              <w:t>危险固废为废化学试剂瓶</w:t>
            </w:r>
            <w:r>
              <w:rPr>
                <w:rFonts w:hint="eastAsia" w:ascii="Times New Roman" w:hAnsi="Times New Roman" w:cs="Times New Roman"/>
                <w:bCs/>
                <w:sz w:val="24"/>
                <w:szCs w:val="24"/>
                <w:lang w:eastAsia="zh-CN"/>
              </w:rPr>
              <w:t>、</w:t>
            </w:r>
            <w:r>
              <w:rPr>
                <w:rFonts w:hint="default" w:ascii="Times New Roman" w:hAnsi="Times New Roman" w:cs="Times New Roman" w:eastAsiaTheme="minorEastAsia"/>
                <w:bCs/>
                <w:sz w:val="24"/>
                <w:szCs w:val="24"/>
              </w:rPr>
              <w:t>实验废液</w:t>
            </w:r>
            <w:r>
              <w:rPr>
                <w:rFonts w:hint="eastAsia" w:ascii="Times New Roman" w:hAnsi="Times New Roman" w:cs="Times New Roman"/>
                <w:bCs/>
                <w:sz w:val="24"/>
                <w:szCs w:val="24"/>
                <w:lang w:eastAsia="zh-CN"/>
              </w:rPr>
              <w:t>、</w:t>
            </w:r>
            <w:r>
              <w:rPr>
                <w:rFonts w:hint="default" w:ascii="Times New Roman" w:hAnsi="Times New Roman" w:cs="Times New Roman" w:eastAsiaTheme="minorEastAsia"/>
                <w:bCs/>
                <w:sz w:val="24"/>
                <w:szCs w:val="24"/>
              </w:rPr>
              <w:t>清洗废液</w:t>
            </w:r>
            <w:r>
              <w:rPr>
                <w:rFonts w:hint="eastAsia" w:ascii="Times New Roman" w:hAnsi="Times New Roman" w:cs="Times New Roman"/>
                <w:bCs/>
                <w:sz w:val="24"/>
                <w:szCs w:val="24"/>
                <w:lang w:eastAsia="zh-CN"/>
              </w:rPr>
              <w:t>、</w:t>
            </w:r>
            <w:r>
              <w:rPr>
                <w:rFonts w:hint="default" w:ascii="Times New Roman" w:hAnsi="Times New Roman" w:cs="Times New Roman" w:eastAsiaTheme="minorEastAsia"/>
                <w:bCs/>
                <w:sz w:val="24"/>
                <w:szCs w:val="24"/>
              </w:rPr>
              <w:t>废检测耗材</w:t>
            </w:r>
            <w:r>
              <w:rPr>
                <w:rFonts w:hint="eastAsia" w:ascii="Times New Roman" w:hAnsi="Times New Roman" w:cs="Times New Roman"/>
                <w:bCs/>
                <w:sz w:val="24"/>
                <w:szCs w:val="24"/>
                <w:lang w:eastAsia="zh-CN"/>
              </w:rPr>
              <w:t>、</w:t>
            </w:r>
            <w:r>
              <w:rPr>
                <w:rFonts w:hint="default" w:ascii="Times New Roman" w:hAnsi="Times New Roman" w:cs="Times New Roman" w:eastAsiaTheme="minorEastAsia"/>
                <w:bCs/>
                <w:sz w:val="24"/>
                <w:szCs w:val="24"/>
              </w:rPr>
              <w:t>废活性炭</w:t>
            </w:r>
            <w:r>
              <w:rPr>
                <w:rFonts w:hint="eastAsia" w:ascii="Times New Roman" w:hAnsi="Times New Roman" w:cs="Times New Roman"/>
                <w:bCs/>
                <w:sz w:val="24"/>
                <w:szCs w:val="24"/>
                <w:lang w:eastAsia="zh-CN"/>
              </w:rPr>
              <w:t>、</w:t>
            </w:r>
            <w:r>
              <w:rPr>
                <w:rFonts w:hint="default" w:ascii="Times New Roman" w:hAnsi="Times New Roman" w:cs="Times New Roman" w:eastAsiaTheme="minorEastAsia"/>
                <w:bCs/>
                <w:sz w:val="24"/>
                <w:szCs w:val="24"/>
              </w:rPr>
              <w:t>污水站污泥</w:t>
            </w:r>
            <w:r>
              <w:rPr>
                <w:rFonts w:hint="eastAsia" w:ascii="Times New Roman" w:hAnsi="Times New Roman" w:cs="Times New Roman"/>
                <w:bCs/>
                <w:sz w:val="24"/>
                <w:szCs w:val="24"/>
                <w:lang w:eastAsia="zh-CN"/>
              </w:rPr>
              <w:t>、</w:t>
            </w:r>
            <w:r>
              <w:rPr>
                <w:rFonts w:hint="default" w:ascii="Times New Roman" w:hAnsi="Times New Roman" w:cs="Times New Roman" w:eastAsiaTheme="minorEastAsia"/>
                <w:bCs/>
                <w:sz w:val="24"/>
                <w:szCs w:val="24"/>
              </w:rPr>
              <w:t>实验室多余废水样品</w:t>
            </w:r>
            <w:r>
              <w:rPr>
                <w:rFonts w:hint="eastAsia" w:ascii="Times New Roman" w:hAnsi="Times New Roman" w:cs="Times New Roman"/>
                <w:bCs/>
                <w:sz w:val="24"/>
                <w:szCs w:val="24"/>
                <w:lang w:eastAsia="zh-CN"/>
              </w:rPr>
              <w:t>、</w:t>
            </w:r>
            <w:r>
              <w:rPr>
                <w:rFonts w:hint="default" w:ascii="Times New Roman" w:hAnsi="Times New Roman" w:cs="Times New Roman" w:eastAsiaTheme="minorEastAsia"/>
                <w:bCs/>
                <w:sz w:val="24"/>
                <w:szCs w:val="24"/>
              </w:rPr>
              <w:t>实验室过期药品</w:t>
            </w:r>
            <w:r>
              <w:rPr>
                <w:rFonts w:hint="default" w:ascii="Times New Roman" w:hAnsi="Times New Roman" w:cs="Times New Roman" w:eastAsiaTheme="minorEastAsia"/>
                <w:bCs/>
                <w:sz w:val="24"/>
                <w:szCs w:val="24"/>
                <w:lang w:eastAsia="zh-CN"/>
              </w:rPr>
              <w:t>。</w:t>
            </w:r>
            <w:r>
              <w:rPr>
                <w:rFonts w:hint="default" w:ascii="Times New Roman" w:hAnsi="Times New Roman" w:cs="Times New Roman" w:eastAsiaTheme="minorEastAsia"/>
                <w:bCs/>
                <w:sz w:val="24"/>
                <w:szCs w:val="24"/>
                <w:lang w:val="en-US" w:eastAsia="zh-CN"/>
              </w:rPr>
              <w:t>暂存于危废仓库中，定期委托有资质单位安全处置。</w:t>
            </w:r>
            <w:r>
              <w:rPr>
                <w:rFonts w:hint="default" w:ascii="Times New Roman" w:hAnsi="Times New Roman" w:cs="Times New Roman" w:eastAsiaTheme="minorEastAsia"/>
                <w:bCs/>
                <w:sz w:val="24"/>
              </w:rPr>
              <w:t>产生的</w:t>
            </w:r>
            <w:r>
              <w:rPr>
                <w:rFonts w:hint="default" w:ascii="Times New Roman" w:hAnsi="Times New Roman" w:cs="Times New Roman" w:eastAsiaTheme="minorEastAsia"/>
                <w:bCs/>
                <w:sz w:val="24"/>
                <w:lang w:val="en-US" w:eastAsia="zh-CN"/>
              </w:rPr>
              <w:t>一般固废</w:t>
            </w:r>
            <w:r>
              <w:rPr>
                <w:rFonts w:hint="default" w:ascii="Times New Roman" w:hAnsi="Times New Roman" w:cs="Times New Roman" w:eastAsiaTheme="minorEastAsia"/>
                <w:bCs/>
                <w:sz w:val="24"/>
              </w:rPr>
              <w:t>出售综合利用</w:t>
            </w:r>
            <w:r>
              <w:rPr>
                <w:rFonts w:hint="default" w:ascii="Times New Roman" w:hAnsi="Times New Roman" w:cs="Times New Roman" w:eastAsiaTheme="minorEastAsia"/>
                <w:bCs/>
                <w:sz w:val="24"/>
                <w:lang w:eastAsia="zh-CN"/>
              </w:rPr>
              <w:t>。</w:t>
            </w:r>
            <w:r>
              <w:rPr>
                <w:rFonts w:hint="default" w:ascii="Times New Roman" w:hAnsi="Times New Roman" w:cs="Times New Roman" w:eastAsiaTheme="minorEastAsia"/>
                <w:bCs/>
                <w:sz w:val="24"/>
              </w:rPr>
              <w:t>生活垃圾委托环卫部门及时清运</w:t>
            </w:r>
            <w:r>
              <w:rPr>
                <w:rFonts w:hint="default" w:ascii="Times New Roman" w:hAnsi="Times New Roman" w:cs="Times New Roman" w:eastAsiaTheme="minorEastAsia"/>
                <w:bCs/>
                <w:sz w:val="24"/>
                <w:lang w:eastAsia="zh-CN"/>
              </w:rPr>
              <w:t>，</w:t>
            </w:r>
            <w:r>
              <w:rPr>
                <w:rFonts w:hint="default" w:ascii="Times New Roman" w:hAnsi="Times New Roman" w:cs="Times New Roman" w:eastAsiaTheme="minorEastAsia"/>
                <w:bCs/>
                <w:kern w:val="2"/>
                <w:sz w:val="24"/>
                <w:szCs w:val="24"/>
                <w:lang w:val="en-US" w:eastAsia="zh-CN" w:bidi="ar-SA"/>
              </w:rPr>
              <w:t>不外排。</w:t>
            </w:r>
          </w:p>
          <w:p>
            <w:pPr>
              <w:pStyle w:val="2"/>
              <w:numPr>
                <w:ilvl w:val="0"/>
                <w:numId w:val="0"/>
              </w:numPr>
              <w:jc w:val="both"/>
              <w:rPr>
                <w:rFonts w:hint="default"/>
                <w:b/>
                <w:bCs/>
                <w:vertAlign w:val="baseline"/>
                <w:lang w:val="en-US" w:eastAsia="zh-CN"/>
              </w:rPr>
            </w:pPr>
            <w:r>
              <w:rPr>
                <w:rFonts w:hint="eastAsia"/>
                <w:b/>
                <w:bCs/>
                <w:vertAlign w:val="baseline"/>
                <w:lang w:val="en-US" w:eastAsia="zh-CN"/>
              </w:rPr>
              <w:t>建议</w:t>
            </w:r>
          </w:p>
          <w:p>
            <w:pPr>
              <w:adjustRightInd w:val="0"/>
              <w:snapToGrid w:val="0"/>
              <w:spacing w:line="360" w:lineRule="auto"/>
              <w:ind w:firstLine="480" w:firstLineChars="200"/>
              <w:jc w:val="both"/>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1、进一步加强环境管理，完善环境保护相关管理条例、规章制度，落实污染物防治措施，确保各污染物达标排放；</w:t>
            </w:r>
          </w:p>
          <w:p>
            <w:pPr>
              <w:pStyle w:val="9"/>
              <w:spacing w:line="360" w:lineRule="auto"/>
              <w:ind w:firstLine="480" w:firstLineChars="200"/>
              <w:jc w:val="both"/>
              <w:rPr>
                <w:rFonts w:hint="default" w:ascii="Times New Roman" w:hAnsi="Times New Roman" w:eastAsia="宋体" w:cs="Times New Roman"/>
                <w:sz w:val="24"/>
              </w:rPr>
            </w:pPr>
            <w:r>
              <w:rPr>
                <w:rFonts w:hint="default" w:ascii="Times New Roman" w:hAnsi="Times New Roman" w:eastAsia="宋体" w:cs="Times New Roman"/>
                <w:color w:val="000000"/>
                <w:sz w:val="24"/>
              </w:rPr>
              <w:t>2、加强管理，进一步提高公司员工的环境意识，倡导清洁生产，并加强各种原料的储存、运送管理，制定严格的规章制度。</w:t>
            </w:r>
          </w:p>
          <w:p>
            <w:pPr>
              <w:pStyle w:val="2"/>
              <w:numPr>
                <w:ilvl w:val="0"/>
                <w:numId w:val="0"/>
              </w:numPr>
              <w:jc w:val="both"/>
              <w:rPr>
                <w:rFonts w:hint="eastAsia" w:eastAsia="宋体"/>
                <w:b/>
                <w:bCs/>
                <w:vertAlign w:val="baseline"/>
                <w:lang w:val="en-US" w:eastAsia="zh-CN"/>
              </w:rPr>
            </w:pPr>
          </w:p>
          <w:p>
            <w:pPr>
              <w:pStyle w:val="2"/>
              <w:numPr>
                <w:ilvl w:val="0"/>
                <w:numId w:val="0"/>
              </w:numPr>
              <w:jc w:val="both"/>
              <w:rPr>
                <w:rFonts w:hint="eastAsia" w:eastAsia="宋体"/>
                <w:b/>
                <w:bCs/>
                <w:vertAlign w:val="baseline"/>
                <w:lang w:val="en-US" w:eastAsia="zh-CN"/>
              </w:rPr>
            </w:pPr>
          </w:p>
          <w:p>
            <w:pPr>
              <w:pStyle w:val="2"/>
              <w:numPr>
                <w:ilvl w:val="0"/>
                <w:numId w:val="0"/>
              </w:numPr>
              <w:jc w:val="both"/>
              <w:rPr>
                <w:rFonts w:hint="eastAsia"/>
                <w:lang w:val="en-US" w:eastAsia="zh-CN"/>
              </w:rPr>
            </w:pPr>
            <w:r>
              <w:rPr>
                <w:rFonts w:hint="eastAsia" w:eastAsia="宋体"/>
                <w:b/>
                <w:bCs/>
                <w:vertAlign w:val="baseline"/>
                <w:lang w:val="en-US" w:eastAsia="zh-CN"/>
              </w:rPr>
              <w:t>附件</w:t>
            </w:r>
          </w:p>
          <w:p>
            <w:pPr>
              <w:pStyle w:val="9"/>
              <w:numPr>
                <w:ilvl w:val="0"/>
                <w:numId w:val="0"/>
              </w:numPr>
              <w:spacing w:line="360" w:lineRule="auto"/>
              <w:ind w:right="113" w:rightChars="0" w:firstLine="480" w:firstLineChars="200"/>
              <w:jc w:val="both"/>
              <w:rPr>
                <w:rFonts w:hint="eastAsia"/>
                <w:sz w:val="24"/>
                <w:szCs w:val="24"/>
                <w:vertAlign w:val="baseline"/>
                <w:lang w:val="en-US" w:eastAsia="zh-CN"/>
              </w:rPr>
            </w:pPr>
            <w:r>
              <w:rPr>
                <w:rFonts w:hint="eastAsia" w:asciiTheme="minorHAnsi" w:hAnsiTheme="minorHAnsi" w:eastAsiaTheme="minorEastAsia" w:cstheme="minorBidi"/>
                <w:kern w:val="0"/>
                <w:sz w:val="24"/>
                <w:szCs w:val="24"/>
                <w:vertAlign w:val="baseline"/>
                <w:lang w:val="en-US" w:eastAsia="zh-CN" w:bidi="ar-SA"/>
              </w:rPr>
              <w:t>1、</w:t>
            </w:r>
            <w:r>
              <w:rPr>
                <w:rFonts w:hint="eastAsia" w:ascii="Times New Roman" w:hAnsi="Times New Roman" w:eastAsia="宋体" w:cs="Times New Roman"/>
                <w:color w:val="000000"/>
                <w:sz w:val="24"/>
                <w:szCs w:val="24"/>
                <w:lang w:val="en-US" w:eastAsia="zh-CN"/>
              </w:rPr>
              <w:t>审批</w:t>
            </w:r>
            <w:r>
              <w:rPr>
                <w:rFonts w:hint="eastAsia"/>
                <w:sz w:val="24"/>
                <w:szCs w:val="24"/>
                <w:vertAlign w:val="baseline"/>
                <w:lang w:val="en-US" w:eastAsia="zh-CN"/>
              </w:rPr>
              <w:t>意见</w:t>
            </w:r>
          </w:p>
          <w:p>
            <w:pPr>
              <w:pStyle w:val="9"/>
              <w:numPr>
                <w:ilvl w:val="0"/>
                <w:numId w:val="0"/>
              </w:numPr>
              <w:spacing w:line="360" w:lineRule="auto"/>
              <w:ind w:right="113" w:rightChars="0" w:firstLine="480" w:firstLineChars="200"/>
              <w:jc w:val="both"/>
              <w:rPr>
                <w:rFonts w:hint="default"/>
                <w:lang w:val="en-US" w:eastAsia="zh-CN"/>
              </w:rPr>
            </w:pPr>
            <w:r>
              <w:rPr>
                <w:rFonts w:hint="eastAsia"/>
                <w:sz w:val="24"/>
                <w:szCs w:val="24"/>
                <w:vertAlign w:val="baseline"/>
                <w:lang w:val="en-US" w:eastAsia="zh-CN"/>
              </w:rPr>
              <w:t>2、新建项目污染物排放总量指标申请答复文件</w:t>
            </w:r>
          </w:p>
          <w:p>
            <w:pPr>
              <w:pStyle w:val="9"/>
              <w:spacing w:line="360" w:lineRule="auto"/>
              <w:ind w:firstLine="480" w:firstLineChars="200"/>
              <w:jc w:val="both"/>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3、验收监测工况说明</w:t>
            </w:r>
          </w:p>
          <w:p>
            <w:pPr>
              <w:pStyle w:val="9"/>
              <w:spacing w:line="360" w:lineRule="auto"/>
              <w:ind w:firstLine="480" w:firstLineChars="200"/>
              <w:jc w:val="both"/>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4、生产设备一览表</w:t>
            </w:r>
          </w:p>
          <w:p>
            <w:pPr>
              <w:pStyle w:val="9"/>
              <w:spacing w:line="360" w:lineRule="auto"/>
              <w:ind w:firstLine="480" w:firstLineChars="200"/>
              <w:jc w:val="both"/>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5、营业执照</w:t>
            </w:r>
          </w:p>
          <w:p>
            <w:pPr>
              <w:pStyle w:val="9"/>
              <w:spacing w:line="360" w:lineRule="auto"/>
              <w:ind w:firstLine="480" w:firstLineChars="200"/>
              <w:jc w:val="both"/>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6、危废处置承诺书</w:t>
            </w:r>
          </w:p>
          <w:p>
            <w:pPr>
              <w:pStyle w:val="2"/>
              <w:numPr>
                <w:ilvl w:val="0"/>
                <w:numId w:val="0"/>
              </w:numPr>
              <w:jc w:val="both"/>
              <w:rPr>
                <w:rFonts w:hint="eastAsia"/>
                <w:sz w:val="24"/>
                <w:szCs w:val="24"/>
                <w:vertAlign w:val="baseline"/>
                <w:lang w:val="en-US" w:eastAsia="zh-CN"/>
              </w:rPr>
            </w:pPr>
            <w:r>
              <w:rPr>
                <w:rFonts w:hint="eastAsia" w:eastAsia="宋体"/>
                <w:b/>
                <w:bCs/>
                <w:vertAlign w:val="baseline"/>
                <w:lang w:val="en-US" w:eastAsia="zh-CN"/>
              </w:rPr>
              <w:t>附图</w:t>
            </w:r>
          </w:p>
          <w:p>
            <w:pPr>
              <w:pStyle w:val="9"/>
              <w:spacing w:line="360" w:lineRule="auto"/>
              <w:ind w:firstLine="480" w:firstLineChars="200"/>
              <w:jc w:val="both"/>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1、项目地理位置图</w:t>
            </w:r>
          </w:p>
          <w:p>
            <w:pPr>
              <w:pStyle w:val="9"/>
              <w:spacing w:line="360" w:lineRule="auto"/>
              <w:ind w:firstLine="480" w:firstLineChars="200"/>
              <w:jc w:val="both"/>
              <w:rPr>
                <w:rFonts w:hint="default"/>
                <w:sz w:val="24"/>
                <w:szCs w:val="24"/>
                <w:vertAlign w:val="baseline"/>
                <w:lang w:val="en-US" w:eastAsia="zh-CN"/>
              </w:rPr>
            </w:pPr>
            <w:r>
              <w:rPr>
                <w:rFonts w:hint="eastAsia" w:ascii="Times New Roman" w:hAnsi="Times New Roman" w:eastAsia="宋体" w:cs="Times New Roman"/>
                <w:color w:val="000000"/>
                <w:sz w:val="24"/>
                <w:szCs w:val="24"/>
                <w:lang w:val="en-US" w:eastAsia="zh-CN"/>
              </w:rPr>
              <w:t>2、项目平面布置图</w:t>
            </w:r>
          </w:p>
        </w:tc>
      </w:tr>
    </w:tbl>
    <w:p>
      <w:pPr>
        <w:rPr>
          <w:rFonts w:hint="eastAsia"/>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jc w:val="center"/>
        <w:rPr>
          <w:rFonts w:eastAsiaTheme="minorEastAsia"/>
          <w:b/>
          <w:bCs/>
          <w:sz w:val="28"/>
          <w:szCs w:val="28"/>
        </w:rPr>
      </w:pPr>
      <w:r>
        <w:rPr>
          <w:rFonts w:eastAsiaTheme="minorEastAsia"/>
          <w:b/>
          <w:bCs/>
          <w:sz w:val="28"/>
          <w:szCs w:val="28"/>
        </w:rPr>
        <w:t>建设项目工程竣工环境保护“三同时”验收登记表</w:t>
      </w:r>
    </w:p>
    <w:p>
      <w:pPr>
        <w:pStyle w:val="2"/>
        <w:spacing w:line="240" w:lineRule="auto"/>
        <w:jc w:val="center"/>
        <w:rPr>
          <w:rFonts w:eastAsiaTheme="minorEastAsia"/>
          <w:b w:val="0"/>
          <w:bCs/>
          <w:sz w:val="21"/>
          <w:szCs w:val="21"/>
        </w:rPr>
      </w:pPr>
      <w:r>
        <w:rPr>
          <w:rFonts w:eastAsiaTheme="minorEastAsia"/>
          <w:b w:val="0"/>
          <w:bCs/>
          <w:sz w:val="21"/>
          <w:szCs w:val="21"/>
        </w:rPr>
        <w:t>填表单位（盖章）：</w:t>
      </w:r>
      <w:r>
        <w:rPr>
          <w:rFonts w:hint="eastAsia" w:eastAsiaTheme="minorEastAsia"/>
          <w:b w:val="0"/>
          <w:bCs/>
          <w:sz w:val="21"/>
          <w:szCs w:val="21"/>
          <w:lang w:val="en-US" w:eastAsia="zh-CN"/>
        </w:rPr>
        <w:t>江苏标普检测科技有限公司</w:t>
      </w:r>
      <w:r>
        <w:rPr>
          <w:rFonts w:eastAsiaTheme="minorEastAsia"/>
          <w:b w:val="0"/>
          <w:bCs/>
          <w:sz w:val="21"/>
          <w:szCs w:val="21"/>
        </w:rPr>
        <w:t xml:space="preserve">         填表人（签字）：              项目经办人（签字）：</w:t>
      </w:r>
    </w:p>
    <w:tbl>
      <w:tblPr>
        <w:tblStyle w:val="20"/>
        <w:tblW w:w="14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
        <w:gridCol w:w="2342"/>
        <w:gridCol w:w="748"/>
        <w:gridCol w:w="1022"/>
        <w:gridCol w:w="854"/>
        <w:gridCol w:w="1010"/>
        <w:gridCol w:w="863"/>
        <w:gridCol w:w="949"/>
        <w:gridCol w:w="612"/>
        <w:gridCol w:w="471"/>
        <w:gridCol w:w="1148"/>
        <w:gridCol w:w="606"/>
        <w:gridCol w:w="612"/>
        <w:gridCol w:w="855"/>
        <w:gridCol w:w="288"/>
        <w:gridCol w:w="460"/>
        <w:gridCol w:w="898"/>
        <w:gridCol w:w="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407" w:type="dxa"/>
            <w:vMerge w:val="restart"/>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建设项目</w:t>
            </w: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项目名称</w:t>
            </w:r>
          </w:p>
        </w:tc>
        <w:tc>
          <w:tcPr>
            <w:tcW w:w="4497"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新建实验室项目</w:t>
            </w:r>
          </w:p>
        </w:tc>
        <w:tc>
          <w:tcPr>
            <w:tcW w:w="2032"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项目代码</w:t>
            </w:r>
          </w:p>
        </w:tc>
        <w:tc>
          <w:tcPr>
            <w:tcW w:w="1148"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cs="Times New Roman"/>
                <w:sz w:val="18"/>
                <w:szCs w:val="18"/>
              </w:rPr>
              <w:t>2106-320602-89-01-564315</w:t>
            </w:r>
          </w:p>
        </w:tc>
        <w:tc>
          <w:tcPr>
            <w:tcW w:w="1218"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建设地点</w:t>
            </w:r>
          </w:p>
        </w:tc>
        <w:tc>
          <w:tcPr>
            <w:tcW w:w="2751"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eastAsia="zh-CN"/>
              </w:rPr>
            </w:pPr>
            <w:r>
              <w:rPr>
                <w:rFonts w:hint="default" w:ascii="Times New Roman" w:hAnsi="Times New Roman" w:eastAsia="宋体" w:cs="Times New Roman"/>
                <w:sz w:val="18"/>
                <w:szCs w:val="18"/>
                <w:lang w:val="en-US" w:eastAsia="zh-CN"/>
              </w:rPr>
              <w:t>江苏省南通市崇川区永兴街道永兴路218号20幢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行业类别</w:t>
            </w:r>
          </w:p>
        </w:tc>
        <w:tc>
          <w:tcPr>
            <w:tcW w:w="4497"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[M7461]环境保护监测</w:t>
            </w:r>
          </w:p>
        </w:tc>
        <w:tc>
          <w:tcPr>
            <w:tcW w:w="2032"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建设性质</w:t>
            </w:r>
          </w:p>
        </w:tc>
        <w:tc>
          <w:tcPr>
            <w:tcW w:w="5117" w:type="dxa"/>
            <w:gridSpan w:val="8"/>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sz w:val="18"/>
                <w:szCs w:val="18"/>
              </w:rPr>
              <w:t>√</w:t>
            </w:r>
            <w:r>
              <w:rPr>
                <w:rFonts w:hint="default" w:ascii="Times New Roman" w:hAnsi="Times New Roman" w:eastAsia="宋体" w:cs="Times New Roman"/>
                <w:b/>
                <w:bCs/>
                <w:sz w:val="18"/>
                <w:szCs w:val="18"/>
              </w:rPr>
              <w:t>新建     改扩建     技术改造    迁建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设计生产能力</w:t>
            </w:r>
          </w:p>
        </w:tc>
        <w:tc>
          <w:tcPr>
            <w:tcW w:w="2624" w:type="dxa"/>
            <w:gridSpan w:val="3"/>
            <w:vAlign w:val="center"/>
          </w:tcPr>
          <w:p>
            <w:pPr>
              <w:pStyle w:val="28"/>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实验室</w:t>
            </w:r>
          </w:p>
        </w:tc>
        <w:tc>
          <w:tcPr>
            <w:tcW w:w="187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实际生产能力</w:t>
            </w:r>
          </w:p>
        </w:tc>
        <w:tc>
          <w:tcPr>
            <w:tcW w:w="2032"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val="0"/>
                <w:bCs w:val="0"/>
                <w:sz w:val="18"/>
                <w:szCs w:val="18"/>
                <w:lang w:val="en-US" w:eastAsia="zh-CN"/>
              </w:rPr>
              <w:t>实验室</w:t>
            </w:r>
          </w:p>
        </w:tc>
        <w:tc>
          <w:tcPr>
            <w:tcW w:w="1754"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环评单位</w:t>
            </w:r>
          </w:p>
        </w:tc>
        <w:tc>
          <w:tcPr>
            <w:tcW w:w="3363" w:type="dxa"/>
            <w:gridSpan w:val="6"/>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color w:val="auto"/>
                <w:sz w:val="18"/>
                <w:szCs w:val="18"/>
                <w:lang w:val="en-US" w:eastAsia="zh-CN"/>
              </w:rPr>
              <w:t>江苏标普检测科技有限公司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环评文件审批机关</w:t>
            </w:r>
          </w:p>
        </w:tc>
        <w:tc>
          <w:tcPr>
            <w:tcW w:w="4497"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南通市崇川区行政审批局</w:t>
            </w:r>
          </w:p>
        </w:tc>
        <w:tc>
          <w:tcPr>
            <w:tcW w:w="94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审批文号</w:t>
            </w:r>
          </w:p>
        </w:tc>
        <w:tc>
          <w:tcPr>
            <w:tcW w:w="3449" w:type="dxa"/>
            <w:gridSpan w:val="5"/>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崇行审</w:t>
            </w:r>
            <w:r>
              <w:rPr>
                <w:rFonts w:hint="eastAsia" w:ascii="Times New Roman" w:hAnsi="Times New Roman" w:eastAsia="宋体" w:cs="Times New Roman"/>
                <w:color w:val="auto"/>
                <w:sz w:val="18"/>
                <w:szCs w:val="18"/>
                <w:lang w:val="en-US" w:eastAsia="zh-CN"/>
              </w:rPr>
              <w:t>批</w:t>
            </w:r>
            <w:r>
              <w:rPr>
                <w:rFonts w:hint="default" w:ascii="Times New Roman" w:hAnsi="Times New Roman" w:eastAsia="宋体" w:cs="Times New Roman"/>
                <w:color w:val="auto"/>
                <w:sz w:val="18"/>
                <w:szCs w:val="18"/>
                <w:lang w:val="en-US" w:eastAsia="zh-CN"/>
              </w:rPr>
              <w:t>〔202</w:t>
            </w:r>
            <w:r>
              <w:rPr>
                <w:rFonts w:hint="eastAsia" w:ascii="Times New Roman" w:hAnsi="Times New Roman" w:eastAsia="宋体" w:cs="Times New Roman"/>
                <w:color w:val="auto"/>
                <w:sz w:val="18"/>
                <w:szCs w:val="18"/>
                <w:lang w:val="en-US" w:eastAsia="zh-CN"/>
              </w:rPr>
              <w:t>3</w:t>
            </w:r>
            <w:r>
              <w:rPr>
                <w:rFonts w:hint="default" w:ascii="Times New Roman" w:hAnsi="Times New Roman" w:eastAsia="宋体" w:cs="Times New Roman"/>
                <w:color w:val="auto"/>
                <w:sz w:val="18"/>
                <w:szCs w:val="18"/>
                <w:lang w:val="en-US" w:eastAsia="zh-CN"/>
              </w:rPr>
              <w:t>〕2</w:t>
            </w:r>
            <w:r>
              <w:rPr>
                <w:rFonts w:hint="eastAsia" w:ascii="Times New Roman" w:hAnsi="Times New Roman" w:eastAsia="宋体" w:cs="Times New Roman"/>
                <w:color w:val="auto"/>
                <w:sz w:val="18"/>
                <w:szCs w:val="18"/>
                <w:lang w:val="en-US" w:eastAsia="zh-CN"/>
              </w:rPr>
              <w:t>7</w:t>
            </w:r>
            <w:r>
              <w:rPr>
                <w:rFonts w:hint="default" w:ascii="Times New Roman" w:hAnsi="Times New Roman" w:eastAsia="宋体" w:cs="Times New Roman"/>
                <w:color w:val="auto"/>
                <w:sz w:val="18"/>
                <w:szCs w:val="18"/>
                <w:lang w:val="en-US" w:eastAsia="zh-CN"/>
              </w:rPr>
              <w:t>号</w:t>
            </w:r>
          </w:p>
        </w:tc>
        <w:tc>
          <w:tcPr>
            <w:tcW w:w="114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环评文件类型</w:t>
            </w:r>
          </w:p>
        </w:tc>
        <w:tc>
          <w:tcPr>
            <w:tcW w:w="1608"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sz w:val="18"/>
                <w:szCs w:val="18"/>
              </w:rPr>
              <w:t>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开工日期</w:t>
            </w:r>
          </w:p>
        </w:tc>
        <w:tc>
          <w:tcPr>
            <w:tcW w:w="4497"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2022年7月</w:t>
            </w:r>
          </w:p>
        </w:tc>
        <w:tc>
          <w:tcPr>
            <w:tcW w:w="949"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color w:val="auto"/>
                <w:sz w:val="18"/>
                <w:szCs w:val="18"/>
                <w:highlight w:val="none"/>
              </w:rPr>
            </w:pPr>
            <w:r>
              <w:rPr>
                <w:rFonts w:hint="default" w:ascii="Times New Roman" w:hAnsi="Times New Roman" w:eastAsia="宋体" w:cs="Times New Roman"/>
                <w:b/>
                <w:bCs/>
                <w:color w:val="auto"/>
                <w:sz w:val="18"/>
                <w:szCs w:val="18"/>
                <w:highlight w:val="none"/>
              </w:rPr>
              <w:t>竣工日期</w:t>
            </w:r>
          </w:p>
        </w:tc>
        <w:tc>
          <w:tcPr>
            <w:tcW w:w="3449"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Cs/>
                <w:color w:val="auto"/>
                <w:sz w:val="18"/>
                <w:szCs w:val="18"/>
                <w:highlight w:val="none"/>
                <w:lang w:val="en-US" w:eastAsia="zh-CN"/>
              </w:rPr>
            </w:pPr>
            <w:r>
              <w:rPr>
                <w:rFonts w:hint="eastAsia" w:ascii="Times New Roman" w:hAnsi="Times New Roman" w:eastAsia="宋体" w:cs="Times New Roman"/>
                <w:bCs/>
                <w:color w:val="auto"/>
                <w:sz w:val="18"/>
                <w:szCs w:val="18"/>
                <w:highlight w:val="none"/>
                <w:lang w:val="en-US" w:eastAsia="zh-CN"/>
              </w:rPr>
              <w:t>2023年1月</w:t>
            </w:r>
          </w:p>
        </w:tc>
        <w:tc>
          <w:tcPr>
            <w:tcW w:w="114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排污</w:t>
            </w:r>
            <w:r>
              <w:rPr>
                <w:rFonts w:hint="default" w:ascii="Times New Roman" w:hAnsi="Times New Roman" w:eastAsia="宋体" w:cs="Times New Roman"/>
                <w:b/>
                <w:bCs/>
                <w:sz w:val="18"/>
                <w:szCs w:val="18"/>
                <w:lang w:val="en-US" w:eastAsia="zh-CN"/>
              </w:rPr>
              <w:t>登记回执登记</w:t>
            </w:r>
            <w:r>
              <w:rPr>
                <w:rFonts w:hint="default" w:ascii="Times New Roman" w:hAnsi="Times New Roman" w:eastAsia="宋体" w:cs="Times New Roman"/>
                <w:b/>
                <w:bCs/>
                <w:sz w:val="18"/>
                <w:szCs w:val="18"/>
              </w:rPr>
              <w:t>时间</w:t>
            </w:r>
          </w:p>
        </w:tc>
        <w:tc>
          <w:tcPr>
            <w:tcW w:w="1608"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环保设施设计单位</w:t>
            </w:r>
          </w:p>
        </w:tc>
        <w:tc>
          <w:tcPr>
            <w:tcW w:w="4497"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auto"/>
                <w:sz w:val="18"/>
                <w:szCs w:val="18"/>
                <w:lang w:val="en-US" w:eastAsia="zh-CN"/>
              </w:rPr>
              <w:t>江苏标普检测科技有限公司</w:t>
            </w:r>
          </w:p>
        </w:tc>
        <w:tc>
          <w:tcPr>
            <w:tcW w:w="1561"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bCs/>
                <w:color w:val="auto"/>
                <w:sz w:val="18"/>
                <w:szCs w:val="18"/>
                <w:highlight w:val="none"/>
              </w:rPr>
              <w:t>环保设施施工单位</w:t>
            </w:r>
          </w:p>
        </w:tc>
        <w:tc>
          <w:tcPr>
            <w:tcW w:w="2837" w:type="dxa"/>
            <w:gridSpan w:val="4"/>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color w:val="auto"/>
                <w:sz w:val="18"/>
                <w:szCs w:val="18"/>
                <w:lang w:val="en-US" w:eastAsia="zh-CN"/>
              </w:rPr>
              <w:t>江苏标普检测科技有限公司</w:t>
            </w:r>
          </w:p>
        </w:tc>
        <w:tc>
          <w:tcPr>
            <w:tcW w:w="114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本工程排污许可证编号</w:t>
            </w:r>
          </w:p>
        </w:tc>
        <w:tc>
          <w:tcPr>
            <w:tcW w:w="1608"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验收单位</w:t>
            </w:r>
          </w:p>
        </w:tc>
        <w:tc>
          <w:tcPr>
            <w:tcW w:w="2624"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color w:val="auto"/>
                <w:sz w:val="18"/>
                <w:szCs w:val="18"/>
                <w:lang w:val="en-US" w:eastAsia="zh-CN"/>
              </w:rPr>
              <w:t>江苏标普检测科技有限公司</w:t>
            </w:r>
          </w:p>
        </w:tc>
        <w:tc>
          <w:tcPr>
            <w:tcW w:w="187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环保设施监测单位</w:t>
            </w:r>
          </w:p>
        </w:tc>
        <w:tc>
          <w:tcPr>
            <w:tcW w:w="4398" w:type="dxa"/>
            <w:gridSpan w:val="6"/>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color w:val="auto"/>
                <w:sz w:val="18"/>
                <w:szCs w:val="18"/>
                <w:lang w:val="en-US" w:eastAsia="zh-CN"/>
              </w:rPr>
              <w:t>江苏标普检测科技有限公司</w:t>
            </w:r>
          </w:p>
        </w:tc>
        <w:tc>
          <w:tcPr>
            <w:tcW w:w="114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验收监测时工况</w:t>
            </w:r>
          </w:p>
        </w:tc>
        <w:tc>
          <w:tcPr>
            <w:tcW w:w="1608"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投资总概算（万元）</w:t>
            </w:r>
          </w:p>
        </w:tc>
        <w:tc>
          <w:tcPr>
            <w:tcW w:w="4497"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1000</w:t>
            </w:r>
          </w:p>
        </w:tc>
        <w:tc>
          <w:tcPr>
            <w:tcW w:w="2032"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环保投资总概算（万元）</w:t>
            </w:r>
          </w:p>
        </w:tc>
        <w:tc>
          <w:tcPr>
            <w:tcW w:w="2366"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25</w:t>
            </w:r>
          </w:p>
        </w:tc>
        <w:tc>
          <w:tcPr>
            <w:tcW w:w="114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所占比例（%）</w:t>
            </w:r>
          </w:p>
        </w:tc>
        <w:tc>
          <w:tcPr>
            <w:tcW w:w="1608"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实际总投资</w:t>
            </w:r>
          </w:p>
        </w:tc>
        <w:tc>
          <w:tcPr>
            <w:tcW w:w="4497"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1000</w:t>
            </w:r>
          </w:p>
        </w:tc>
        <w:tc>
          <w:tcPr>
            <w:tcW w:w="2032"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实际环保投资（万元）</w:t>
            </w:r>
          </w:p>
        </w:tc>
        <w:tc>
          <w:tcPr>
            <w:tcW w:w="2366"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23</w:t>
            </w:r>
          </w:p>
        </w:tc>
        <w:tc>
          <w:tcPr>
            <w:tcW w:w="114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所占比例（%）</w:t>
            </w:r>
          </w:p>
        </w:tc>
        <w:tc>
          <w:tcPr>
            <w:tcW w:w="1608"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废水治理（万元）</w:t>
            </w:r>
          </w:p>
        </w:tc>
        <w:tc>
          <w:tcPr>
            <w:tcW w:w="748"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8</w:t>
            </w:r>
          </w:p>
        </w:tc>
        <w:tc>
          <w:tcPr>
            <w:tcW w:w="102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废气治理</w:t>
            </w:r>
          </w:p>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（万元）</w:t>
            </w:r>
          </w:p>
        </w:tc>
        <w:tc>
          <w:tcPr>
            <w:tcW w:w="854"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10</w:t>
            </w:r>
          </w:p>
        </w:tc>
        <w:tc>
          <w:tcPr>
            <w:tcW w:w="1010"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噪声治理（万元）</w:t>
            </w:r>
          </w:p>
        </w:tc>
        <w:tc>
          <w:tcPr>
            <w:tcW w:w="863"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highlight w:val="none"/>
                <w:lang w:val="en-US" w:eastAsia="zh-CN"/>
              </w:rPr>
            </w:pPr>
            <w:r>
              <w:rPr>
                <w:rFonts w:hint="eastAsia" w:ascii="Times New Roman" w:hAnsi="Times New Roman" w:eastAsia="宋体" w:cs="Times New Roman"/>
                <w:b w:val="0"/>
                <w:bCs w:val="0"/>
                <w:sz w:val="18"/>
                <w:szCs w:val="18"/>
                <w:highlight w:val="none"/>
                <w:lang w:val="en-US" w:eastAsia="zh-CN"/>
              </w:rPr>
              <w:t>2</w:t>
            </w:r>
          </w:p>
        </w:tc>
        <w:tc>
          <w:tcPr>
            <w:tcW w:w="2032"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固体废物治理（万元）</w:t>
            </w:r>
          </w:p>
        </w:tc>
        <w:tc>
          <w:tcPr>
            <w:tcW w:w="2366"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2</w:t>
            </w:r>
          </w:p>
        </w:tc>
        <w:tc>
          <w:tcPr>
            <w:tcW w:w="114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绿化及生态（万元）</w:t>
            </w:r>
          </w:p>
        </w:tc>
        <w:tc>
          <w:tcPr>
            <w:tcW w:w="460"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Cs/>
                <w:sz w:val="18"/>
                <w:szCs w:val="18"/>
                <w:lang w:val="en-US" w:eastAsia="zh-CN"/>
              </w:rPr>
            </w:pPr>
            <w:r>
              <w:rPr>
                <w:rFonts w:hint="eastAsia" w:ascii="Times New Roman" w:hAnsi="Times New Roman" w:eastAsia="宋体" w:cs="Times New Roman"/>
                <w:b w:val="0"/>
                <w:bCs/>
                <w:sz w:val="18"/>
                <w:szCs w:val="18"/>
                <w:lang w:val="en-US" w:eastAsia="zh-CN"/>
              </w:rPr>
              <w:t>1</w:t>
            </w:r>
          </w:p>
        </w:tc>
        <w:tc>
          <w:tcPr>
            <w:tcW w:w="898"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其他</w:t>
            </w:r>
          </w:p>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（万元）</w:t>
            </w:r>
          </w:p>
        </w:tc>
        <w:tc>
          <w:tcPr>
            <w:tcW w:w="250"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407" w:type="dxa"/>
            <w:vMerge w:val="continue"/>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p>
        </w:tc>
        <w:tc>
          <w:tcPr>
            <w:tcW w:w="2342"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新增废水处理设施能力</w:t>
            </w:r>
          </w:p>
        </w:tc>
        <w:tc>
          <w:tcPr>
            <w:tcW w:w="4497" w:type="dxa"/>
            <w:gridSpan w:val="5"/>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w:t>
            </w:r>
          </w:p>
        </w:tc>
        <w:tc>
          <w:tcPr>
            <w:tcW w:w="2032"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新增废气处理设施能力</w:t>
            </w:r>
          </w:p>
        </w:tc>
        <w:tc>
          <w:tcPr>
            <w:tcW w:w="2366"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val="en-US" w:eastAsia="zh-CN"/>
              </w:rPr>
            </w:pPr>
            <w:r>
              <w:rPr>
                <w:rFonts w:hint="eastAsia" w:ascii="Times New Roman" w:hAnsi="Times New Roman" w:eastAsia="宋体" w:cs="Times New Roman"/>
                <w:b/>
                <w:bCs/>
                <w:sz w:val="18"/>
                <w:szCs w:val="18"/>
                <w:lang w:val="en-US" w:eastAsia="zh-CN"/>
              </w:rPr>
              <w:t>/</w:t>
            </w:r>
          </w:p>
        </w:tc>
        <w:tc>
          <w:tcPr>
            <w:tcW w:w="1143"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年平均工作时</w:t>
            </w:r>
          </w:p>
        </w:tc>
        <w:tc>
          <w:tcPr>
            <w:tcW w:w="1608"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sz w:val="18"/>
                <w:szCs w:val="18"/>
                <w:lang w:val="en-US" w:eastAsia="zh-CN"/>
              </w:rPr>
              <w:t>20</w:t>
            </w:r>
            <w:r>
              <w:rPr>
                <w:rFonts w:hint="default" w:ascii="Times New Roman" w:hAnsi="Times New Roman" w:cs="Times New Roman"/>
                <w:sz w:val="18"/>
                <w:szCs w:val="18"/>
                <w:lang w:val="en-US" w:eastAsia="zh-CN"/>
              </w:rPr>
              <w:t>0</w:t>
            </w:r>
            <w:r>
              <w:rPr>
                <w:rFonts w:hint="default" w:ascii="Times New Roman" w:hAnsi="Times New Roman" w:eastAsia="宋体" w:cs="Times New Roman"/>
                <w:sz w:val="18"/>
                <w:szCs w:val="18"/>
                <w:lang w:val="en-US" w:eastAsia="zh-CN"/>
              </w:rPr>
              <w:t>0</w:t>
            </w:r>
            <w:r>
              <w:rPr>
                <w:rFonts w:hint="default" w:ascii="Times New Roman" w:hAnsi="Times New Roman" w:eastAsia="宋体" w:cs="Times New Roman"/>
                <w:sz w:val="18"/>
                <w:szCs w:val="18"/>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2749" w:type="dxa"/>
            <w:gridSpan w:val="2"/>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运营单位</w:t>
            </w:r>
          </w:p>
        </w:tc>
        <w:tc>
          <w:tcPr>
            <w:tcW w:w="3634" w:type="dxa"/>
            <w:gridSpan w:val="4"/>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lang w:eastAsia="zh-CN"/>
              </w:rPr>
            </w:pPr>
            <w:r>
              <w:rPr>
                <w:rFonts w:hint="default" w:ascii="Times New Roman" w:hAnsi="Times New Roman" w:eastAsia="宋体" w:cs="Times New Roman"/>
                <w:color w:val="auto"/>
                <w:sz w:val="18"/>
                <w:szCs w:val="18"/>
                <w:lang w:val="en-US" w:eastAsia="zh-CN"/>
              </w:rPr>
              <w:t>江苏标普检测科技有限公司</w:t>
            </w:r>
          </w:p>
        </w:tc>
        <w:tc>
          <w:tcPr>
            <w:tcW w:w="2895" w:type="dxa"/>
            <w:gridSpan w:val="4"/>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运营单位社会统一信用代码（或组织机构代码）</w:t>
            </w:r>
          </w:p>
        </w:tc>
        <w:tc>
          <w:tcPr>
            <w:tcW w:w="2366" w:type="dxa"/>
            <w:gridSpan w:val="3"/>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sz w:val="18"/>
                <w:szCs w:val="18"/>
                <w:lang w:val="en-US" w:eastAsia="zh-CN"/>
              </w:rPr>
              <w:t>91320600MA253NX71G</w:t>
            </w:r>
          </w:p>
        </w:tc>
        <w:tc>
          <w:tcPr>
            <w:tcW w:w="855" w:type="dxa"/>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验收</w:t>
            </w:r>
          </w:p>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时间</w:t>
            </w:r>
          </w:p>
        </w:tc>
        <w:tc>
          <w:tcPr>
            <w:tcW w:w="1896" w:type="dxa"/>
            <w:gridSpan w:val="4"/>
            <w:vAlign w:val="center"/>
          </w:tcPr>
          <w:p>
            <w:pPr>
              <w:keepNext w:val="0"/>
              <w:keepLines w:val="0"/>
              <w:pageBreakBefore w:val="0"/>
              <w:kinsoku/>
              <w:wordWrap/>
              <w:overflowPunct/>
              <w:topLinePunct w:val="0"/>
              <w:autoSpaceDE/>
              <w:autoSpaceDN/>
              <w:bidi w:val="0"/>
              <w:adjustRightInd/>
              <w:snapToGrid/>
              <w:jc w:val="center"/>
              <w:textAlignment w:val="auto"/>
              <w:rPr>
                <w:rFonts w:hint="default" w:ascii="Times New Roman" w:hAnsi="Times New Roman" w:eastAsia="宋体" w:cs="Times New Roman"/>
                <w:sz w:val="18"/>
                <w:szCs w:val="18"/>
                <w:highlight w:val="yellow"/>
                <w:lang w:val="en-US" w:eastAsia="zh-CN"/>
              </w:rPr>
            </w:pPr>
            <w:r>
              <w:rPr>
                <w:rFonts w:hint="eastAsia" w:ascii="Times New Roman" w:hAnsi="Times New Roman" w:eastAsia="宋体" w:cs="Times New Roman"/>
                <w:bCs/>
                <w:sz w:val="18"/>
                <w:szCs w:val="18"/>
                <w:lang w:val="en-US" w:eastAsia="zh-CN"/>
              </w:rPr>
              <w:t>2024年1月</w:t>
            </w:r>
          </w:p>
        </w:tc>
      </w:tr>
    </w:tbl>
    <w:p>
      <w:pPr>
        <w:pStyle w:val="2"/>
        <w:jc w:val="both"/>
        <w:rPr>
          <w:rFonts w:hint="eastAsia"/>
          <w:lang w:val="en-US" w:eastAsia="zh-CN"/>
        </w:rPr>
      </w:pPr>
    </w:p>
    <w:sectPr>
      <w:pgSz w:w="16838" w:h="11906" w:orient="landscape"/>
      <w:pgMar w:top="1689" w:right="1440" w:bottom="1689"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仿宋体">
    <w:altName w:val="宋体"/>
    <w:panose1 w:val="00000000000000000000"/>
    <w:charset w:val="86"/>
    <w:family w:val="roman"/>
    <w:pitch w:val="default"/>
    <w:sig w:usb0="00000000" w:usb1="00000000" w:usb2="0000001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278DF5"/>
    <w:multiLevelType w:val="singleLevel"/>
    <w:tmpl w:val="29278DF5"/>
    <w:lvl w:ilvl="0" w:tentative="0">
      <w:start w:val="1"/>
      <w:numFmt w:val="bullet"/>
      <w:pStyle w:val="12"/>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iMDcwOTc5Njc1NmRlZDZmMGVmMDY1OWJhZjZiOWEifQ=="/>
  </w:docVars>
  <w:rsids>
    <w:rsidRoot w:val="525E3491"/>
    <w:rsid w:val="00005402"/>
    <w:rsid w:val="00022C79"/>
    <w:rsid w:val="00D80AA7"/>
    <w:rsid w:val="00FE6B68"/>
    <w:rsid w:val="0118062D"/>
    <w:rsid w:val="0183225F"/>
    <w:rsid w:val="01EB7263"/>
    <w:rsid w:val="020E5567"/>
    <w:rsid w:val="03526967"/>
    <w:rsid w:val="03A35222"/>
    <w:rsid w:val="03C74FE7"/>
    <w:rsid w:val="04493102"/>
    <w:rsid w:val="0596630B"/>
    <w:rsid w:val="06A06AEC"/>
    <w:rsid w:val="06C6516F"/>
    <w:rsid w:val="078A1F92"/>
    <w:rsid w:val="078C0A6F"/>
    <w:rsid w:val="07F06F2F"/>
    <w:rsid w:val="084E585C"/>
    <w:rsid w:val="08C04A21"/>
    <w:rsid w:val="08F7760A"/>
    <w:rsid w:val="09273E49"/>
    <w:rsid w:val="094B1DE4"/>
    <w:rsid w:val="096609B0"/>
    <w:rsid w:val="09B62700"/>
    <w:rsid w:val="0AE0560C"/>
    <w:rsid w:val="0BAE0408"/>
    <w:rsid w:val="0C485188"/>
    <w:rsid w:val="0DCE720B"/>
    <w:rsid w:val="0F42051B"/>
    <w:rsid w:val="0F6D4D62"/>
    <w:rsid w:val="0F974DC9"/>
    <w:rsid w:val="0FCF74EE"/>
    <w:rsid w:val="10864BDB"/>
    <w:rsid w:val="113B1DB1"/>
    <w:rsid w:val="115158F7"/>
    <w:rsid w:val="11721B5C"/>
    <w:rsid w:val="12684274"/>
    <w:rsid w:val="13174832"/>
    <w:rsid w:val="13E2043C"/>
    <w:rsid w:val="14A225D9"/>
    <w:rsid w:val="14C101DC"/>
    <w:rsid w:val="16115A4E"/>
    <w:rsid w:val="16A5129D"/>
    <w:rsid w:val="17124C9D"/>
    <w:rsid w:val="172771EF"/>
    <w:rsid w:val="174F29F0"/>
    <w:rsid w:val="18155D42"/>
    <w:rsid w:val="184E2C0D"/>
    <w:rsid w:val="18821CB9"/>
    <w:rsid w:val="1B83678C"/>
    <w:rsid w:val="1BA63824"/>
    <w:rsid w:val="1BF15446"/>
    <w:rsid w:val="1CA67DD3"/>
    <w:rsid w:val="1D611F6A"/>
    <w:rsid w:val="1D6F3AF5"/>
    <w:rsid w:val="1DBA20B5"/>
    <w:rsid w:val="1DE64C99"/>
    <w:rsid w:val="1EFA1543"/>
    <w:rsid w:val="1FF23067"/>
    <w:rsid w:val="20104D96"/>
    <w:rsid w:val="207E5971"/>
    <w:rsid w:val="21784F28"/>
    <w:rsid w:val="21AF0D0A"/>
    <w:rsid w:val="220145D2"/>
    <w:rsid w:val="22161AED"/>
    <w:rsid w:val="22D9075D"/>
    <w:rsid w:val="22EF490B"/>
    <w:rsid w:val="230D7857"/>
    <w:rsid w:val="23374C72"/>
    <w:rsid w:val="24AB0B10"/>
    <w:rsid w:val="24D87FB4"/>
    <w:rsid w:val="24E02F31"/>
    <w:rsid w:val="261B25BA"/>
    <w:rsid w:val="264A4EA6"/>
    <w:rsid w:val="26734135"/>
    <w:rsid w:val="272F09ED"/>
    <w:rsid w:val="276324E5"/>
    <w:rsid w:val="282D3621"/>
    <w:rsid w:val="283A1500"/>
    <w:rsid w:val="28916A4E"/>
    <w:rsid w:val="29486982"/>
    <w:rsid w:val="295F5A35"/>
    <w:rsid w:val="29DC07DE"/>
    <w:rsid w:val="29F9714D"/>
    <w:rsid w:val="2A3E529F"/>
    <w:rsid w:val="2ACC7013"/>
    <w:rsid w:val="2CA005C9"/>
    <w:rsid w:val="2CDE2941"/>
    <w:rsid w:val="2D026B9F"/>
    <w:rsid w:val="2D4A5FAC"/>
    <w:rsid w:val="2D8F1DD6"/>
    <w:rsid w:val="2DAE5947"/>
    <w:rsid w:val="2E584819"/>
    <w:rsid w:val="2E733BAF"/>
    <w:rsid w:val="2E7361F6"/>
    <w:rsid w:val="2F4F090C"/>
    <w:rsid w:val="30C6645E"/>
    <w:rsid w:val="310327A2"/>
    <w:rsid w:val="31342380"/>
    <w:rsid w:val="317A3602"/>
    <w:rsid w:val="31946527"/>
    <w:rsid w:val="33462B51"/>
    <w:rsid w:val="334832C9"/>
    <w:rsid w:val="336F0ABC"/>
    <w:rsid w:val="33835108"/>
    <w:rsid w:val="33CB6ADF"/>
    <w:rsid w:val="33FB757A"/>
    <w:rsid w:val="34191BCF"/>
    <w:rsid w:val="346E723B"/>
    <w:rsid w:val="34EA306C"/>
    <w:rsid w:val="354D71BD"/>
    <w:rsid w:val="35A23452"/>
    <w:rsid w:val="38ED653B"/>
    <w:rsid w:val="396635A7"/>
    <w:rsid w:val="399A133A"/>
    <w:rsid w:val="39AD7288"/>
    <w:rsid w:val="39C86B37"/>
    <w:rsid w:val="39C90541"/>
    <w:rsid w:val="3AF43CA3"/>
    <w:rsid w:val="3B420A01"/>
    <w:rsid w:val="3BB07701"/>
    <w:rsid w:val="3D146A85"/>
    <w:rsid w:val="3D591292"/>
    <w:rsid w:val="3D6E5E02"/>
    <w:rsid w:val="3D9B618F"/>
    <w:rsid w:val="3E6A7555"/>
    <w:rsid w:val="3EC90660"/>
    <w:rsid w:val="3F874C1D"/>
    <w:rsid w:val="400E49F6"/>
    <w:rsid w:val="40EE690E"/>
    <w:rsid w:val="41666FD7"/>
    <w:rsid w:val="41A51EA7"/>
    <w:rsid w:val="41B5784E"/>
    <w:rsid w:val="41C1797D"/>
    <w:rsid w:val="4237450E"/>
    <w:rsid w:val="43066FAD"/>
    <w:rsid w:val="438F22F2"/>
    <w:rsid w:val="43A62AC3"/>
    <w:rsid w:val="43E20674"/>
    <w:rsid w:val="45343829"/>
    <w:rsid w:val="460D5BC2"/>
    <w:rsid w:val="46795DA4"/>
    <w:rsid w:val="47143F5B"/>
    <w:rsid w:val="47444A9C"/>
    <w:rsid w:val="47767B60"/>
    <w:rsid w:val="4A4C7A31"/>
    <w:rsid w:val="4B097504"/>
    <w:rsid w:val="4B873AA8"/>
    <w:rsid w:val="4C653BF0"/>
    <w:rsid w:val="4C926DBD"/>
    <w:rsid w:val="4D355285"/>
    <w:rsid w:val="4DF6521C"/>
    <w:rsid w:val="4E1A7590"/>
    <w:rsid w:val="4E600AC2"/>
    <w:rsid w:val="4ED94B37"/>
    <w:rsid w:val="4F3D6D0E"/>
    <w:rsid w:val="4FD01327"/>
    <w:rsid w:val="50194616"/>
    <w:rsid w:val="50B56E74"/>
    <w:rsid w:val="52331682"/>
    <w:rsid w:val="525E3491"/>
    <w:rsid w:val="530B4BE6"/>
    <w:rsid w:val="53BD770D"/>
    <w:rsid w:val="53D864B2"/>
    <w:rsid w:val="540E52BD"/>
    <w:rsid w:val="545540BA"/>
    <w:rsid w:val="54632955"/>
    <w:rsid w:val="54BB524F"/>
    <w:rsid w:val="55287EB0"/>
    <w:rsid w:val="55C26090"/>
    <w:rsid w:val="571F4476"/>
    <w:rsid w:val="58483A19"/>
    <w:rsid w:val="58933FD5"/>
    <w:rsid w:val="59272E90"/>
    <w:rsid w:val="59631F19"/>
    <w:rsid w:val="5AAE1693"/>
    <w:rsid w:val="5B0A1350"/>
    <w:rsid w:val="5C6A0DAE"/>
    <w:rsid w:val="5CEE02AD"/>
    <w:rsid w:val="5D4B6DAE"/>
    <w:rsid w:val="5D6D7345"/>
    <w:rsid w:val="602B45A7"/>
    <w:rsid w:val="60591B92"/>
    <w:rsid w:val="60C13AEF"/>
    <w:rsid w:val="615B03C0"/>
    <w:rsid w:val="61752E88"/>
    <w:rsid w:val="629B1765"/>
    <w:rsid w:val="629C76D5"/>
    <w:rsid w:val="62C87631"/>
    <w:rsid w:val="63275857"/>
    <w:rsid w:val="63DF7563"/>
    <w:rsid w:val="63F62FDB"/>
    <w:rsid w:val="6423110C"/>
    <w:rsid w:val="64374C1D"/>
    <w:rsid w:val="65580703"/>
    <w:rsid w:val="65DF327F"/>
    <w:rsid w:val="65F40105"/>
    <w:rsid w:val="66A56414"/>
    <w:rsid w:val="687574DB"/>
    <w:rsid w:val="68C46C60"/>
    <w:rsid w:val="68DA6D53"/>
    <w:rsid w:val="6A6475C5"/>
    <w:rsid w:val="6A964BD6"/>
    <w:rsid w:val="6B3275FA"/>
    <w:rsid w:val="6BD9409E"/>
    <w:rsid w:val="6BEA1024"/>
    <w:rsid w:val="6E4362B1"/>
    <w:rsid w:val="6F370FC4"/>
    <w:rsid w:val="706D31C5"/>
    <w:rsid w:val="70A95EF1"/>
    <w:rsid w:val="71506EA8"/>
    <w:rsid w:val="71DD3049"/>
    <w:rsid w:val="71FA4C44"/>
    <w:rsid w:val="727D5D2A"/>
    <w:rsid w:val="730554EC"/>
    <w:rsid w:val="73CF1243"/>
    <w:rsid w:val="73F9517D"/>
    <w:rsid w:val="740B407E"/>
    <w:rsid w:val="74467EAD"/>
    <w:rsid w:val="744F0B5E"/>
    <w:rsid w:val="74CA3FBF"/>
    <w:rsid w:val="752E7064"/>
    <w:rsid w:val="7561438C"/>
    <w:rsid w:val="75D21A46"/>
    <w:rsid w:val="76674885"/>
    <w:rsid w:val="766D53A4"/>
    <w:rsid w:val="78F45F0F"/>
    <w:rsid w:val="79EE2BC7"/>
    <w:rsid w:val="7A56118E"/>
    <w:rsid w:val="7A664E53"/>
    <w:rsid w:val="7B9112E5"/>
    <w:rsid w:val="7C3E3C68"/>
    <w:rsid w:val="7CE3553B"/>
    <w:rsid w:val="7D5B67C5"/>
    <w:rsid w:val="7EF92EB4"/>
    <w:rsid w:val="7F9F511F"/>
    <w:rsid w:val="7FB15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autoRedefine/>
    <w:qFormat/>
    <w:uiPriority w:val="0"/>
    <w:pPr>
      <w:keepNext/>
      <w:keepLines/>
      <w:spacing w:beforeLines="0" w:beforeAutospacing="0" w:afterLines="0" w:afterAutospacing="0" w:line="360" w:lineRule="auto"/>
      <w:outlineLvl w:val="0"/>
    </w:pPr>
    <w:rPr>
      <w:rFonts w:eastAsia="仿宋" w:asciiTheme="minorAscii" w:hAnsiTheme="minorAscii"/>
      <w:b/>
      <w:kern w:val="44"/>
      <w:sz w:val="44"/>
    </w:rPr>
  </w:style>
  <w:style w:type="paragraph" w:styleId="5">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basedOn w:val="1"/>
    <w:next w:val="1"/>
    <w:autoRedefine/>
    <w:semiHidden/>
    <w:unhideWhenUsed/>
    <w:qFormat/>
    <w:uiPriority w:val="0"/>
    <w:pPr>
      <w:keepNext/>
      <w:keepLines/>
      <w:spacing w:beforeLines="0" w:beforeAutospacing="0" w:afterLines="0" w:afterAutospacing="0" w:line="360" w:lineRule="auto"/>
      <w:outlineLvl w:val="2"/>
    </w:pPr>
    <w:rPr>
      <w:rFonts w:eastAsia="仿宋" w:asciiTheme="minorAscii" w:hAnsiTheme="minorAscii"/>
      <w:b/>
      <w:sz w:val="32"/>
    </w:rPr>
  </w:style>
  <w:style w:type="paragraph" w:styleId="7">
    <w:name w:val="heading 4"/>
    <w:basedOn w:val="1"/>
    <w:next w:val="1"/>
    <w:autoRedefine/>
    <w:semiHidden/>
    <w:unhideWhenUsed/>
    <w:qFormat/>
    <w:uiPriority w:val="0"/>
    <w:pPr>
      <w:keepNext/>
      <w:keepLines/>
      <w:spacing w:beforeLines="0" w:beforeAutospacing="0" w:afterLines="0" w:afterAutospacing="0" w:line="360" w:lineRule="auto"/>
      <w:outlineLvl w:val="3"/>
    </w:pPr>
    <w:rPr>
      <w:rFonts w:ascii="Arial" w:hAnsi="Arial" w:eastAsia="仿宋"/>
      <w:b/>
      <w:sz w:val="24"/>
    </w:rPr>
  </w:style>
  <w:style w:type="character" w:default="1" w:styleId="22">
    <w:name w:val="Default Paragraph Font"/>
    <w:autoRedefine/>
    <w:semiHidden/>
    <w:qFormat/>
    <w:uiPriority w:val="0"/>
  </w:style>
  <w:style w:type="table" w:default="1" w:styleId="20">
    <w:name w:val="Normal Table"/>
    <w:autoRedefine/>
    <w:semiHidden/>
    <w:qFormat/>
    <w:uiPriority w:val="0"/>
    <w:tblPr>
      <w:tblCellMar>
        <w:top w:w="0" w:type="dxa"/>
        <w:left w:w="108" w:type="dxa"/>
        <w:bottom w:w="0" w:type="dxa"/>
        <w:right w:w="108" w:type="dxa"/>
      </w:tblCellMar>
    </w:tblPr>
  </w:style>
  <w:style w:type="paragraph" w:customStyle="1" w:styleId="2">
    <w:name w:val="Default"/>
    <w:basedOn w:val="3"/>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
    <w:name w:val="a四级标题"/>
    <w:basedOn w:val="1"/>
    <w:autoRedefine/>
    <w:qFormat/>
    <w:uiPriority w:val="0"/>
    <w:pPr>
      <w:spacing w:line="360" w:lineRule="auto"/>
    </w:pPr>
    <w:rPr>
      <w:b/>
    </w:rPr>
  </w:style>
  <w:style w:type="paragraph" w:styleId="8">
    <w:name w:val="Normal Indent"/>
    <w:basedOn w:val="1"/>
    <w:autoRedefine/>
    <w:qFormat/>
    <w:uiPriority w:val="0"/>
    <w:pPr>
      <w:ind w:firstLine="200" w:firstLineChars="200"/>
    </w:pPr>
    <w:rPr>
      <w:sz w:val="28"/>
      <w:szCs w:val="20"/>
    </w:rPr>
  </w:style>
  <w:style w:type="paragraph" w:styleId="9">
    <w:name w:val="Body Text"/>
    <w:basedOn w:val="1"/>
    <w:next w:val="1"/>
    <w:autoRedefine/>
    <w:qFormat/>
    <w:uiPriority w:val="0"/>
    <w:pPr>
      <w:widowControl/>
      <w:snapToGrid w:val="0"/>
      <w:spacing w:before="60" w:after="160" w:line="259" w:lineRule="auto"/>
      <w:ind w:right="113"/>
    </w:pPr>
    <w:rPr>
      <w:kern w:val="0"/>
      <w:sz w:val="18"/>
      <w:szCs w:val="20"/>
    </w:rPr>
  </w:style>
  <w:style w:type="paragraph" w:styleId="10">
    <w:name w:val="Body Text Indent"/>
    <w:basedOn w:val="1"/>
    <w:autoRedefine/>
    <w:qFormat/>
    <w:uiPriority w:val="99"/>
    <w:pPr>
      <w:spacing w:after="120"/>
      <w:ind w:left="420" w:leftChars="200"/>
    </w:pPr>
    <w:rPr>
      <w:kern w:val="0"/>
      <w:sz w:val="24"/>
      <w:szCs w:val="20"/>
    </w:rPr>
  </w:style>
  <w:style w:type="paragraph" w:styleId="11">
    <w:name w:val="Plain Text"/>
    <w:basedOn w:val="1"/>
    <w:autoRedefine/>
    <w:qFormat/>
    <w:uiPriority w:val="0"/>
    <w:rPr>
      <w:rFonts w:ascii="宋体" w:hAnsi="Courier New"/>
      <w:szCs w:val="21"/>
    </w:rPr>
  </w:style>
  <w:style w:type="paragraph" w:styleId="12">
    <w:name w:val="List Bullet 5"/>
    <w:basedOn w:val="1"/>
    <w:autoRedefine/>
    <w:qFormat/>
    <w:uiPriority w:val="0"/>
    <w:pPr>
      <w:numPr>
        <w:ilvl w:val="0"/>
        <w:numId w:val="1"/>
      </w:numPr>
    </w:pPr>
  </w:style>
  <w:style w:type="paragraph" w:styleId="13">
    <w:name w:val="footer"/>
    <w:basedOn w:val="1"/>
    <w:autoRedefine/>
    <w:qFormat/>
    <w:uiPriority w:val="0"/>
    <w:pPr>
      <w:tabs>
        <w:tab w:val="center" w:pos="4153"/>
        <w:tab w:val="right" w:pos="8306"/>
      </w:tabs>
      <w:snapToGrid w:val="0"/>
      <w:jc w:val="left"/>
    </w:pPr>
    <w:rPr>
      <w:sz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autoRedefine/>
    <w:qFormat/>
    <w:uiPriority w:val="0"/>
  </w:style>
  <w:style w:type="paragraph" w:styleId="16">
    <w:name w:val="toc 2"/>
    <w:basedOn w:val="1"/>
    <w:next w:val="1"/>
    <w:autoRedefine/>
    <w:qFormat/>
    <w:uiPriority w:val="0"/>
    <w:pPr>
      <w:ind w:left="420" w:leftChars="200"/>
    </w:pPr>
  </w:style>
  <w:style w:type="paragraph" w:styleId="17">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styleId="18">
    <w:name w:val="Body Text First Indent"/>
    <w:basedOn w:val="9"/>
    <w:autoRedefine/>
    <w:qFormat/>
    <w:uiPriority w:val="0"/>
    <w:pPr>
      <w:widowControl w:val="0"/>
      <w:snapToGrid/>
      <w:spacing w:before="0" w:after="120" w:line="240" w:lineRule="auto"/>
      <w:ind w:right="0" w:firstLine="420" w:firstLineChars="100"/>
    </w:pPr>
    <w:rPr>
      <w:kern w:val="2"/>
      <w:sz w:val="21"/>
    </w:rPr>
  </w:style>
  <w:style w:type="paragraph" w:styleId="19">
    <w:name w:val="Body Text First Indent 2"/>
    <w:basedOn w:val="10"/>
    <w:autoRedefine/>
    <w:qFormat/>
    <w:uiPriority w:val="0"/>
    <w:pPr>
      <w:ind w:firstLine="420" w:firstLineChars="200"/>
    </w:pPr>
    <w:rPr>
      <w:kern w:val="2"/>
      <w:sz w:val="21"/>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表格文字"/>
    <w:basedOn w:val="1"/>
    <w:autoRedefine/>
    <w:qFormat/>
    <w:uiPriority w:val="0"/>
    <w:pPr>
      <w:jc w:val="center"/>
    </w:pPr>
    <w:rPr>
      <w:rFonts w:ascii="仿宋_GB2312" w:hAnsi="Arial Black" w:eastAsia="仿宋_GB2312"/>
      <w:kern w:val="44"/>
      <w:sz w:val="24"/>
      <w:szCs w:val="20"/>
    </w:rPr>
  </w:style>
  <w:style w:type="paragraph" w:customStyle="1" w:styleId="25">
    <w:name w:val="YY表头"/>
    <w:basedOn w:val="1"/>
    <w:autoRedefine/>
    <w:qFormat/>
    <w:uiPriority w:val="0"/>
    <w:pPr>
      <w:adjustRightInd w:val="0"/>
      <w:snapToGrid w:val="0"/>
      <w:spacing w:line="324" w:lineRule="auto"/>
      <w:jc w:val="center"/>
    </w:pPr>
    <w:rPr>
      <w:b/>
      <w:bCs/>
      <w:kern w:val="0"/>
      <w:sz w:val="24"/>
      <w:szCs w:val="20"/>
    </w:rPr>
  </w:style>
  <w:style w:type="paragraph" w:customStyle="1" w:styleId="26">
    <w:name w:val="YY表格正文"/>
    <w:basedOn w:val="27"/>
    <w:autoRedefine/>
    <w:qFormat/>
    <w:uiPriority w:val="0"/>
    <w:pPr>
      <w:tabs>
        <w:tab w:val="left" w:pos="0"/>
      </w:tabs>
    </w:pPr>
    <w:rPr>
      <w:color w:val="000000"/>
    </w:rPr>
  </w:style>
  <w:style w:type="paragraph" w:customStyle="1" w:styleId="27">
    <w:name w:val="表格内文字"/>
    <w:basedOn w:val="1"/>
    <w:autoRedefine/>
    <w:qFormat/>
    <w:uiPriority w:val="0"/>
    <w:pPr>
      <w:widowControl/>
      <w:tabs>
        <w:tab w:val="left" w:pos="0"/>
      </w:tabs>
      <w:adjustRightInd w:val="0"/>
      <w:snapToGrid w:val="0"/>
      <w:jc w:val="center"/>
    </w:pPr>
    <w:rPr>
      <w:rFonts w:ascii="仿宋_GB2312" w:eastAsia="仿宋_GB2312"/>
      <w:kern w:val="0"/>
      <w:sz w:val="24"/>
      <w:szCs w:val="24"/>
    </w:rPr>
  </w:style>
  <w:style w:type="paragraph" w:customStyle="1" w:styleId="28">
    <w:name w:val="Table Paragraph"/>
    <w:basedOn w:val="1"/>
    <w:autoRedefine/>
    <w:unhideWhenUsed/>
    <w:qFormat/>
    <w:uiPriority w:val="1"/>
    <w:pPr>
      <w:spacing w:before="23"/>
      <w:ind w:left="785"/>
      <w:jc w:val="center"/>
    </w:pPr>
    <w:rPr>
      <w:rFonts w:hint="eastAsia"/>
      <w:sz w:val="24"/>
    </w:rPr>
  </w:style>
  <w:style w:type="paragraph" w:customStyle="1" w:styleId="29">
    <w:name w:val="表格"/>
    <w:basedOn w:val="1"/>
    <w:next w:val="1"/>
    <w:autoRedefine/>
    <w:qFormat/>
    <w:uiPriority w:val="0"/>
    <w:pPr>
      <w:adjustRightInd w:val="0"/>
      <w:snapToGrid w:val="0"/>
      <w:spacing w:beforeLines="10" w:afterLines="10" w:line="259" w:lineRule="auto"/>
      <w:jc w:val="center"/>
    </w:pPr>
    <w:rPr>
      <w:rFonts w:ascii="宋体"/>
      <w:kern w:val="0"/>
      <w:szCs w:val="20"/>
    </w:rPr>
  </w:style>
  <w:style w:type="paragraph" w:customStyle="1" w:styleId="30">
    <w:name w:val="正文 首行缩进:  2 字符"/>
    <w:basedOn w:val="1"/>
    <w:autoRedefine/>
    <w:qFormat/>
    <w:uiPriority w:val="0"/>
    <w:pPr>
      <w:ind w:firstLine="579" w:firstLineChars="200"/>
    </w:pPr>
    <w:rPr>
      <w:rFonts w:eastAsia="等线" w:cs="宋体"/>
      <w:szCs w:val="20"/>
    </w:rPr>
  </w:style>
  <w:style w:type="paragraph" w:customStyle="1" w:styleId="31">
    <w:name w:val="_Style 37"/>
    <w:basedOn w:val="10"/>
    <w:next w:val="19"/>
    <w:autoRedefine/>
    <w:qFormat/>
    <w:uiPriority w:val="0"/>
    <w:pPr>
      <w:ind w:firstLine="420" w:firstLineChars="200"/>
    </w:pPr>
    <w:rPr>
      <w:kern w:val="2"/>
      <w:sz w:val="21"/>
    </w:rPr>
  </w:style>
  <w:style w:type="paragraph" w:customStyle="1" w:styleId="32">
    <w:name w:val="新表"/>
    <w:basedOn w:val="1"/>
    <w:autoRedefine/>
    <w:qFormat/>
    <w:uiPriority w:val="0"/>
    <w:pPr>
      <w:spacing w:line="360" w:lineRule="exact"/>
    </w:pPr>
    <w:rPr>
      <w:rFonts w:eastAsia="仿宋_GB2312"/>
      <w:bCs/>
      <w:kern w:val="0"/>
      <w:sz w:val="24"/>
      <w:szCs w:val="20"/>
    </w:rPr>
  </w:style>
  <w:style w:type="paragraph" w:customStyle="1" w:styleId="33">
    <w:name w:val="样式 正文001 + 首行缩进:  2 字符"/>
    <w:basedOn w:val="1"/>
    <w:autoRedefine/>
    <w:qFormat/>
    <w:uiPriority w:val="0"/>
    <w:pPr>
      <w:spacing w:line="500" w:lineRule="atLeast"/>
      <w:ind w:firstLine="480" w:firstLineChars="200"/>
    </w:pPr>
    <w:rPr>
      <w:sz w:val="24"/>
      <w:szCs w:val="20"/>
    </w:rPr>
  </w:style>
  <w:style w:type="character" w:customStyle="1" w:styleId="34">
    <w:name w:val="apple-converted-space"/>
    <w:autoRedefine/>
    <w:qFormat/>
    <w:uiPriority w:val="0"/>
  </w:style>
  <w:style w:type="paragraph" w:customStyle="1" w:styleId="35">
    <w:name w:val="Body Text 21"/>
    <w:basedOn w:val="1"/>
    <w:autoRedefine/>
    <w:qFormat/>
    <w:uiPriority w:val="0"/>
    <w:pPr>
      <w:adjustRightInd w:val="0"/>
      <w:textAlignment w:val="baseline"/>
    </w:pPr>
    <w:rPr>
      <w:rFonts w:ascii="仿宋_GB2312" w:hAnsi="Calibri" w:eastAsia="仿宋体"/>
      <w:sz w:val="24"/>
      <w:szCs w:val="20"/>
    </w:rPr>
  </w:style>
  <w:style w:type="paragraph" w:customStyle="1" w:styleId="36">
    <w:name w:val="表格标题"/>
    <w:basedOn w:val="1"/>
    <w:autoRedefine/>
    <w:qFormat/>
    <w:uiPriority w:val="0"/>
    <w:pPr>
      <w:spacing w:before="60" w:line="460" w:lineRule="exact"/>
      <w:jc w:val="center"/>
    </w:pPr>
    <w:rPr>
      <w:sz w:val="24"/>
    </w:rPr>
  </w:style>
  <w:style w:type="paragraph" w:customStyle="1" w:styleId="37">
    <w:name w:val="正文表格内容"/>
    <w:basedOn w:val="1"/>
    <w:autoRedefine/>
    <w:qFormat/>
    <w:uiPriority w:val="0"/>
    <w:pPr>
      <w:spacing w:line="360" w:lineRule="exact"/>
      <w:jc w:val="center"/>
    </w:pPr>
    <w:rPr>
      <w:rFonts w:eastAsia="楷体_GB2312" w:cs="宋体"/>
      <w:color w:val="000000"/>
      <w:szCs w:val="20"/>
    </w:rPr>
  </w:style>
  <w:style w:type="paragraph" w:customStyle="1" w:styleId="38">
    <w:name w:val="表格文字2"/>
    <w:basedOn w:val="1"/>
    <w:autoRedefine/>
    <w:qFormat/>
    <w:uiPriority w:val="0"/>
    <w:pPr>
      <w:tabs>
        <w:tab w:val="left" w:pos="277"/>
        <w:tab w:val="left" w:pos="600"/>
        <w:tab w:val="left" w:pos="780"/>
        <w:tab w:val="left" w:pos="2517"/>
      </w:tabs>
      <w:adjustRightInd w:val="0"/>
      <w:snapToGrid w:val="0"/>
      <w:jc w:val="center"/>
      <w:textAlignment w:val="baseline"/>
    </w:pPr>
    <w:rPr>
      <w:kern w:val="0"/>
      <w:szCs w:val="21"/>
    </w:rPr>
  </w:style>
  <w:style w:type="character" w:customStyle="1" w:styleId="39">
    <w:name w:val="font01"/>
    <w:basedOn w:val="22"/>
    <w:autoRedefine/>
    <w:qFormat/>
    <w:uiPriority w:val="0"/>
    <w:rPr>
      <w:rFonts w:hint="eastAsia" w:ascii="宋体" w:hAnsi="宋体" w:eastAsia="宋体" w:cs="宋体"/>
      <w:color w:val="000000"/>
      <w:sz w:val="24"/>
      <w:szCs w:val="24"/>
      <w:u w:val="none"/>
    </w:rPr>
  </w:style>
  <w:style w:type="character" w:customStyle="1" w:styleId="40">
    <w:name w:val="font11"/>
    <w:basedOn w:val="22"/>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jpeg"/><Relationship Id="rId20" Type="http://schemas.openxmlformats.org/officeDocument/2006/relationships/image" Target="media/image13.jpeg"/><Relationship Id="rId2" Type="http://schemas.openxmlformats.org/officeDocument/2006/relationships/settings" Target="settings.xml"/><Relationship Id="rId19" Type="http://schemas.openxmlformats.org/officeDocument/2006/relationships/image" Target="media/image12.jpeg"/><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emf"/><Relationship Id="rId13" Type="http://schemas.openxmlformats.org/officeDocument/2006/relationships/package" Target="embeddings/Microsoft_Visio___2.vsdx"/><Relationship Id="rId12" Type="http://schemas.openxmlformats.org/officeDocument/2006/relationships/image" Target="media/image6.png"/><Relationship Id="rId11" Type="http://schemas.openxmlformats.org/officeDocument/2006/relationships/image" Target="media/image5.emf"/><Relationship Id="rId10" Type="http://schemas.openxmlformats.org/officeDocument/2006/relationships/package" Target="embeddings/Microsoft_Visio___1.vsdx"/><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21129</Words>
  <Characters>27514</Characters>
  <Lines>0</Lines>
  <Paragraphs>0</Paragraphs>
  <TotalTime>213</TotalTime>
  <ScaleCrop>false</ScaleCrop>
  <LinksUpToDate>false</LinksUpToDate>
  <CharactersWithSpaces>27837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2023-09-06T06:48:00Z</dcterms:created>
  <dc:creator>lived</dc:creator>
  <cp:lastModifiedBy>HMX</cp:lastModifiedBy>
  <dcterms:modified xsi:type="dcterms:W3CDTF">2024-01-17T01:07:21Z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6E1E743BBD3C4D80B73E02A06E79E8E8_13</vt:lpwstr>
  </property>
</Properties>
</file>