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r>
        <w:rPr>
          <w:rFonts w:hint="eastAsia" w:ascii="仿宋" w:hAnsi="仿宋" w:eastAsia="仿宋" w:cs="仿宋"/>
          <w:b/>
          <w:bCs/>
          <w:color w:val="auto"/>
          <w:sz w:val="48"/>
          <w:szCs w:val="32"/>
          <w:lang w:val="en-US" w:eastAsia="zh-CN"/>
        </w:rPr>
        <w:t>如皋城西片区一期西部志颐路东、如泰运河南地块</w:t>
      </w:r>
      <w:bookmarkStart w:id="0" w:name="_Toc10446"/>
      <w:bookmarkStart w:id="1" w:name="_Toc11591"/>
      <w:r>
        <w:rPr>
          <w:rFonts w:hint="eastAsia" w:ascii="仿宋" w:hAnsi="仿宋" w:eastAsia="仿宋" w:cs="仿宋"/>
          <w:b/>
          <w:bCs/>
          <w:color w:val="auto"/>
          <w:sz w:val="48"/>
          <w:szCs w:val="32"/>
          <w:lang w:val="en-US" w:eastAsia="zh-CN"/>
        </w:rPr>
        <w:t>土壤污染状况调查报告</w:t>
      </w:r>
      <w:bookmarkEnd w:id="0"/>
      <w:bookmarkEnd w:id="1"/>
    </w:p>
    <w:p>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r>
        <w:rPr>
          <w:rFonts w:hint="eastAsia" w:ascii="仿宋" w:hAnsi="仿宋" w:eastAsia="仿宋" w:cs="仿宋"/>
          <w:b/>
          <w:bCs/>
          <w:color w:val="auto"/>
          <w:sz w:val="48"/>
          <w:szCs w:val="32"/>
          <w:lang w:val="en-US" w:eastAsia="zh-CN"/>
        </w:rPr>
        <w:t>（送审稿）</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11"/>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w:t>
      </w: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pPr>
        <w:pStyle w:val="10"/>
        <w:keepNext w:val="0"/>
        <w:keepLines w:val="0"/>
        <w:pageBreakBefore w:val="0"/>
        <w:widowControl w:val="0"/>
        <w:kinsoku/>
        <w:wordWrap/>
        <w:overflowPunct/>
        <w:topLinePunct w:val="0"/>
        <w:autoSpaceDE/>
        <w:autoSpaceDN/>
        <w:bidi w:val="0"/>
        <w:adjustRightInd/>
        <w:snapToGrid/>
        <w:spacing w:after="0" w:afterLines="0"/>
        <w:ind w:firstLine="0" w:firstLineChars="0"/>
        <w:textAlignment w:val="auto"/>
        <w:outlineLvl w:val="9"/>
        <w:rPr>
          <w:rFonts w:hint="eastAsia" w:ascii="仿宋" w:hAnsi="仿宋" w:eastAsia="仿宋" w:cs="仿宋"/>
          <w:color w:val="auto"/>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2" w:name="_Toc3447"/>
      <w:bookmarkStart w:id="3" w:name="_Toc18254"/>
      <w:r>
        <w:rPr>
          <w:rFonts w:hint="eastAsia" w:ascii="仿宋" w:hAnsi="仿宋" w:eastAsia="仿宋" w:cs="仿宋"/>
          <w:b/>
          <w:bCs/>
          <w:color w:val="auto"/>
          <w:sz w:val="30"/>
          <w:szCs w:val="30"/>
          <w:lang w:val="en-US" w:eastAsia="zh-CN"/>
        </w:rPr>
        <w:t>委托单位：</w:t>
      </w:r>
      <w:bookmarkEnd w:id="2"/>
      <w:bookmarkEnd w:id="3"/>
      <w:r>
        <w:rPr>
          <w:rFonts w:hint="eastAsia" w:ascii="仿宋" w:hAnsi="仿宋" w:eastAsia="仿宋" w:cs="仿宋"/>
          <w:b/>
          <w:bCs/>
          <w:color w:val="auto"/>
          <w:sz w:val="30"/>
          <w:szCs w:val="30"/>
          <w:lang w:val="en-US" w:eastAsia="zh-CN"/>
        </w:rPr>
        <w:t>如皋市西片区综合开发有限公司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4" w:name="_Toc20163"/>
      <w:bookmarkStart w:id="5" w:name="_Toc14118"/>
      <w:r>
        <w:rPr>
          <w:rFonts w:hint="eastAsia" w:ascii="仿宋" w:hAnsi="仿宋" w:eastAsia="仿宋" w:cs="仿宋"/>
          <w:b/>
          <w:bCs/>
          <w:color w:val="auto"/>
          <w:sz w:val="30"/>
          <w:szCs w:val="30"/>
          <w:lang w:val="en-US" w:eastAsia="zh-CN"/>
        </w:rPr>
        <w:t>报告出具单位：江苏标普检测科技有限公司</w:t>
      </w:r>
      <w:bookmarkEnd w:id="4"/>
      <w:bookmarkEnd w:id="5"/>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仿宋" w:hAnsi="仿宋" w:eastAsia="仿宋" w:cs="仿宋"/>
          <w:b/>
          <w:bCs/>
          <w:color w:val="auto"/>
          <w:sz w:val="30"/>
          <w:szCs w:val="30"/>
          <w:lang w:val="en-US" w:eastAsia="zh-CN"/>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b/>
          <w:bCs/>
          <w:color w:val="auto"/>
          <w:sz w:val="30"/>
          <w:szCs w:val="30"/>
          <w:lang w:val="en-US" w:eastAsia="zh-CN"/>
        </w:rPr>
        <w:t>2024年3月</w:t>
      </w:r>
    </w:p>
    <w:p>
      <w:pPr>
        <w:pStyle w:val="4"/>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15"/>
        <w:jc w:val="center"/>
        <w:rPr>
          <w:rFonts w:hint="eastAsia" w:ascii="仿宋" w:hAnsi="仿宋" w:eastAsia="仿宋" w:cs="仿宋"/>
          <w:color w:val="auto"/>
        </w:rPr>
      </w:pPr>
      <w:r>
        <w:rPr>
          <w:rFonts w:hint="eastAsia" w:ascii="仿宋" w:hAnsi="仿宋" w:eastAsia="仿宋" w:cs="仿宋"/>
          <w:color w:val="auto"/>
        </w:rPr>
        <w:drawing>
          <wp:inline distT="0" distB="0" distL="114300" distR="114300">
            <wp:extent cx="4711700" cy="3338195"/>
            <wp:effectExtent l="0" t="0" r="1270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4711700" cy="3338195"/>
                    </a:xfrm>
                    <a:prstGeom prst="rect">
                      <a:avLst/>
                    </a:prstGeom>
                    <a:noFill/>
                    <a:ln>
                      <a:noFill/>
                    </a:ln>
                  </pic:spPr>
                </pic:pic>
              </a:graphicData>
            </a:graphic>
          </wp:inline>
        </w:drawing>
      </w:r>
    </w:p>
    <w:p>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项目名称：如皋城西片区一期西部志颐路东、如泰运河南地块土壤污染状况调查</w:t>
      </w:r>
    </w:p>
    <w:p>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委托单位：如皋市西片区综合开发有限公司</w:t>
      </w:r>
    </w:p>
    <w:p>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编制单位：江苏标普检测科技有限公司</w:t>
      </w:r>
    </w:p>
    <w:p>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钻探单位：上海杰狼环保科技工程有限公司</w:t>
      </w:r>
    </w:p>
    <w:p>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宋体"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检测单位：江苏光质检测科技有限公司、江苏弘业检测技术有限公司、江苏中之盛环境科技有限公司</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1154"/>
        <w:gridCol w:w="1258"/>
        <w:gridCol w:w="1178"/>
        <w:gridCol w:w="2470"/>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pPr>
              <w:keepNext w:val="0"/>
              <w:keepLines w:val="0"/>
              <w:pageBreakBefore w:val="0"/>
              <w:widowControl w:val="0"/>
              <w:tabs>
                <w:tab w:val="center" w:pos="4213"/>
                <w:tab w:val="left" w:pos="4983"/>
              </w:tabs>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rPr>
            </w:pPr>
            <w:r>
              <w:rPr>
                <w:rFonts w:hint="eastAsia" w:ascii="仿宋" w:hAnsi="仿宋" w:eastAsia="仿宋" w:cs="仿宋"/>
                <w:color w:val="auto"/>
                <w:lang w:val="en-US" w:eastAsia="zh-CN"/>
              </w:rPr>
              <w:t>人员信息表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职责</w:t>
            </w: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人员</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专业</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职称</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身份证号及联系电话</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项目负责</w:t>
            </w: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沈琪</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环境科学</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现场踏勘</w:t>
            </w: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顾建亚</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320683199408273010</w:t>
            </w:r>
          </w:p>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19555031446</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徐思敏</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土木工程</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kern w:val="2"/>
                <w:sz w:val="24"/>
                <w:szCs w:val="24"/>
                <w:vertAlign w:val="baseline"/>
                <w:lang w:val="en-US" w:eastAsia="zh-CN" w:bidi="ar-SA"/>
              </w:rPr>
              <w:t>助理工程师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320682199109032472</w:t>
            </w:r>
          </w:p>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18251375988</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vMerge w:val="restar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数据分析</w:t>
            </w:r>
          </w:p>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报告编制</w:t>
            </w: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陆天悦</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320611200011251829</w:t>
            </w:r>
          </w:p>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18862934712</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顾建亚</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320683199408273010</w:t>
            </w:r>
          </w:p>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19555031446</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vMerge w:val="continue"/>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kern w:val="2"/>
                <w:sz w:val="24"/>
                <w:szCs w:val="24"/>
                <w:vertAlign w:val="baseline"/>
                <w:lang w:val="en-US" w:eastAsia="zh-CN" w:bidi="ar-SA"/>
              </w:rPr>
              <w:t>黄敏霞</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环境科学</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320684199901120866</w:t>
            </w:r>
          </w:p>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19802585182</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报告复核</w:t>
            </w: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沈琪</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5"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报告审核</w:t>
            </w:r>
          </w:p>
        </w:tc>
        <w:tc>
          <w:tcPr>
            <w:tcW w:w="677"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徐俊</w:t>
            </w:r>
          </w:p>
        </w:tc>
        <w:tc>
          <w:tcPr>
            <w:tcW w:w="73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691"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高级工程师</w:t>
            </w:r>
          </w:p>
        </w:tc>
        <w:tc>
          <w:tcPr>
            <w:tcW w:w="1449"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320622197312170197</w:t>
            </w:r>
          </w:p>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13862734560</w:t>
            </w:r>
          </w:p>
        </w:tc>
        <w:tc>
          <w:tcPr>
            <w:tcW w:w="718" w:type="pct"/>
            <w:noWrap w:val="0"/>
            <w:vAlign w:val="center"/>
          </w:tcPr>
          <w:p>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bl>
    <w:p>
      <w:pPr>
        <w:pStyle w:val="2"/>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4"/>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6" w:name="_Toc25350"/>
      <w:bookmarkStart w:id="7" w:name="_Toc28537"/>
      <w:bookmarkStart w:id="8" w:name="_Toc32371"/>
      <w:bookmarkStart w:id="9" w:name="_Toc17845"/>
      <w:r>
        <w:rPr>
          <w:rFonts w:hint="eastAsia" w:ascii="仿宋" w:hAnsi="仿宋" w:eastAsia="仿宋" w:cs="仿宋"/>
          <w:b/>
          <w:bCs/>
          <w:color w:val="auto"/>
          <w:sz w:val="48"/>
          <w:szCs w:val="36"/>
          <w:lang w:val="en-US" w:eastAsia="zh-CN"/>
        </w:rPr>
        <w:t>摘 要</w:t>
      </w:r>
      <w:bookmarkEnd w:id="6"/>
      <w:bookmarkEnd w:id="7"/>
      <w:bookmarkEnd w:id="8"/>
      <w:bookmarkEnd w:id="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皋城西片区一期西部志颐路东、如泰运河南地块位于南通市如皋市如城街道。调查范围东至桃源路（规划路），西至志颐路，南至广福路（规划路），北至如泰运河。本次调查地块总占地面积234亩（约156000平方米）。</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（1）地块内当前及历史企业情况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合卫星影像及人员访谈得知，根据调查情况，地块早期为农田，1990年至2022年一直是宅基地、部分生产厂房。地块内构筑物于2022年拆除，目前为开放状态，土壤有受到人为扰动的可能。调查地块周围500m范围内的敏感目标为地表水和住宅。本次调查地块和周边地块当前和历史上存在多家企业，调查地块内存在原如皋市绢纺厂，如皋市绢纺厂成立于1990年，2004年改制后成立江苏大地蓝绢纺织有限公司。后逐步将厂房租赁给多个纺织印染企业，其中涉及的重点行业企业有如皋弘森染丝线厂和如皋莱思染整有限公司。根据重点行业企业调查，风险关注度等级均为中级，且未开展过土壤和地下水检测工作，未查询到环保相关的行政处罚。</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（2）地块周边当前及历史企业情况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块周边500m范围内存在三家重点行业企业，分别为如皋市万隆漂染厂、南通东韵染整有限公司、如皋市双佳助剂有限公司，风险关注度等级均为中度，其中如皋市万隆漂染厂为《关于如皋市重点行业企业用地调查高风险遗留地块（第一批）管控区域的公示（2022年3月24日）》中规定的高风险遗留地块。据调查，南通东韵染整有限公司在重点行业企业调查土壤和地下水检测中未出现超标现象，如皋市万隆漂染厂、如皋市双佳助剂有限公司未开展过土壤和地下水检测工作。地块周边500m范围内存在三家重点行业企业，分别为如皋市万隆漂染厂、南通东韵染整有限公司、如皋市双佳助剂有限公司，风险关注度等级均为中度，其中如皋市万隆漂染厂为《关于如皋市重点行业企业用地调查高风险遗留地块（第一批）管控区域的公示（2022年3月24日）》中规定的高风险遗留地块。据调查，南通东韵染整有限公司在重点行业企业调查土壤和地下水检测中未出现超标现象，如皋市万隆漂染厂、如皋市双佳助剂有限公司未开展过土壤和地下水检测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中周边企业存在的环保行政处罚情况如下：如皋市双佳助剂有限公司于2014年1月13日被如皋生态环境局（原如皋市环境保护局）作出皋环罚字（2014）2号行政处罚决定书，原因为未办理环评手续，水污染防治设施未经环保部门验收，擅自在如皋市如城镇西门外车站路18号建设甲醇、乙醇项目并投入生产。南通皋鑫电子股份有限公司于2018年4月27日被如皋生态环境局（原如皋市环境保护局）作出皋环罚字（2018）47号行政处罚决定书，原因为不正常运行污染防治设施。</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（3）项目由来及准备工作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次调查地块用地性质为住宅（宅基地）、集体用地。根据《如皋市西片区控制性详细规划（公示日期2021.12）》，本次调查地块未来规划为居住用地（R21）、道路用地、公园绿地（G1）、防护绿地（G2）、商业用地（B1），因道路、公园绿地、防护绿地、商业用地占总调查范围的比例较小，因此本次调查采用《土壤环境质量 建设用地土壤污染风险管控标准(试行)》（GB36600-2018）中的第一类用地的评价标准统一进行评价。根据《中华人民共和国土壤污染防治法》第五十九条：用途变更为住宅、公共管理与公共服务用地的，变更前应当按照规定进行土壤污染状况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因此，如皋市西片区综合开发有限公司委托江苏标普检测科技有限公司（以下简称“我司”）对如皋城西片区一期西部志颐路东、如泰运河南地块土壤污染状况进行调查。我司组织项目组成员对调查地块进行现场踏勘、调查，收集了有关资料，并委托上海杰狼环保科技工程有限公司进行现场钻探取样工作。样品集采及样品检测分析由江苏光质检测科技有限公司（具有CMA资质）、江苏弘业检测技术有限公司（具有CMA资质）、江苏中之盛环境科技有限公司（具有CMA资质）负责。</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10" w:name="_Toc249"/>
      <w:bookmarkStart w:id="11" w:name="_Toc5347"/>
      <w:r>
        <w:rPr>
          <w:rFonts w:hint="eastAsia" w:ascii="仿宋" w:hAnsi="仿宋" w:eastAsia="仿宋" w:cs="仿宋"/>
          <w:b/>
          <w:bCs/>
          <w:color w:val="auto"/>
          <w:sz w:val="24"/>
          <w:szCs w:val="24"/>
          <w:lang w:val="en-US" w:eastAsia="zh-CN"/>
        </w:rPr>
        <w:t>一、第一阶段土壤污染状况调查</w:t>
      </w:r>
      <w:bookmarkEnd w:id="10"/>
      <w:bookmarkEnd w:id="1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第一阶段调查工作开展时间为2023年7月5日，根据调查情况，本次调查地块早期为农田</w:t>
      </w:r>
      <w:r>
        <w:rPr>
          <w:rFonts w:hint="eastAsia" w:ascii="仿宋" w:hAnsi="仿宋" w:eastAsia="仿宋" w:cs="仿宋"/>
          <w:b w:val="0"/>
          <w:bCs w:val="0"/>
          <w:color w:val="auto"/>
          <w:sz w:val="24"/>
          <w:szCs w:val="32"/>
          <w:lang w:val="en-US" w:eastAsia="zh-CN"/>
        </w:rPr>
        <w:t>。根据地块历史用途，本次调查将地块分为生产区域和非生产区域。</w:t>
      </w:r>
      <w:r>
        <w:rPr>
          <w:rFonts w:hint="eastAsia" w:ascii="仿宋" w:hAnsi="仿宋" w:eastAsia="仿宋" w:cs="仿宋"/>
          <w:b/>
          <w:bCs/>
          <w:color w:val="auto"/>
          <w:sz w:val="24"/>
          <w:szCs w:val="32"/>
          <w:lang w:val="en-US" w:eastAsia="zh-CN"/>
        </w:rPr>
        <w:t>非生产区域</w:t>
      </w:r>
      <w:r>
        <w:rPr>
          <w:rFonts w:hint="eastAsia" w:ascii="仿宋" w:hAnsi="仿宋" w:eastAsia="仿宋" w:cs="仿宋"/>
          <w:b w:val="0"/>
          <w:bCs w:val="0"/>
          <w:color w:val="auto"/>
          <w:sz w:val="24"/>
          <w:szCs w:val="32"/>
          <w:lang w:val="en-US" w:eastAsia="zh-CN"/>
        </w:rPr>
        <w:t>主要为农户自建房（部分有产权，部分属农村集体用地），其存在的如皋市纺纱工艺品厂主要为纺纱工艺品的存储，未进行生产工作，厂房用作仓库使用。地块内北侧为建筑站及废品回收站，建筑站主要职责为负责工地安全及质量管理的部门，不涉及生产，站内空地临时堆放小型钢筋混凝土预制件等；东侧废品回收站，主要收集周边居民产生的可回收垃圾，例如纸箱、塑料瓶、铁锅、泡沫盒等。</w:t>
      </w:r>
      <w:r>
        <w:rPr>
          <w:rFonts w:hint="eastAsia" w:ascii="仿宋" w:hAnsi="仿宋" w:eastAsia="仿宋" w:cs="仿宋"/>
          <w:b/>
          <w:bCs/>
          <w:color w:val="auto"/>
          <w:sz w:val="24"/>
          <w:szCs w:val="32"/>
          <w:lang w:val="en-US" w:eastAsia="zh-CN"/>
        </w:rPr>
        <w:t>生产区域</w:t>
      </w:r>
      <w:r>
        <w:rPr>
          <w:rFonts w:hint="eastAsia" w:ascii="仿宋" w:hAnsi="仿宋" w:eastAsia="仿宋" w:cs="仿宋"/>
          <w:b w:val="0"/>
          <w:bCs w:val="0"/>
          <w:color w:val="auto"/>
          <w:sz w:val="24"/>
          <w:szCs w:val="32"/>
          <w:lang w:val="en-US" w:eastAsia="zh-CN"/>
        </w:rPr>
        <w:t>主要生产企业为如皋市绢纺厂，其成立于1990年；2004年后改制为大地蓝绢纺织有限公司，将厂房租给多家印染、纺织企业；地块内涉及印染工序的企业于2018年整顿关停，2018年-2022年期间，印染企业改为仓库使用，其他纺织类企业继续经营或改为仓库。2022年拆除构筑物后，地块闲置至今，其中原如皋市绢纺厂锅炉房烟囱及其北侧市政配电站房未拆除，后期保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b w:val="0"/>
          <w:bCs w:val="0"/>
          <w:color w:val="auto"/>
          <w:sz w:val="24"/>
          <w:szCs w:val="32"/>
          <w:lang w:val="en-US" w:eastAsia="zh-CN"/>
        </w:rPr>
        <w:t>根据调查结果，地块内企业在产时涉及的潜在污染因子有</w:t>
      </w:r>
      <w:r>
        <w:rPr>
          <w:rFonts w:hint="eastAsia" w:ascii="仿宋" w:hAnsi="仿宋" w:eastAsia="仿宋" w:cs="仿宋"/>
          <w:b w:val="0"/>
          <w:bCs w:val="0"/>
          <w:color w:val="auto"/>
          <w:kern w:val="2"/>
          <w:sz w:val="24"/>
          <w:szCs w:val="24"/>
          <w:lang w:val="en-US" w:eastAsia="zh-CN" w:bidi="ar-SA"/>
        </w:rPr>
        <w:t>pH、色度、氨氮、耗氧量、硫化物、氯化物、硫酸盐、锑、苯胺类及联苯胺类、三氯苯、三溴甲烷、石油烃（C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）、AOX、汞、六价铬、铅、砷、氟化物、苯并[a]芘、苯并[a]蒽、苯并[b]荧蒽、苯并[k]荧蒽、二苯并[a,h]蔥、茚并[1,2,3-cd]芘、丙烯酸乙酯、苯、甲苯、二甲苯、甲醛、三乙胺等。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调查地块周围500m范围内的敏感目标为地表水、居民区、学校、医院等。本次调查地块相邻地块当前和历史上一直为道路、农田或居民区；周边500m范围内当前和历史上存在多家企业，主要为纺织印染企业、机械加工企业、化工医药企业等，距离本次调查地块最近的企业为地块西侧37米处的如皋市东皋酱菜厂。初步判断企业存在的潜在污染因子有</w:t>
      </w:r>
      <w:r>
        <w:rPr>
          <w:rFonts w:hint="eastAsia" w:ascii="仿宋" w:hAnsi="仿宋" w:eastAsia="仿宋" w:cs="仿宋"/>
          <w:b w:val="0"/>
          <w:bCs w:val="0"/>
          <w:color w:val="auto"/>
          <w:kern w:val="2"/>
          <w:sz w:val="24"/>
          <w:szCs w:val="24"/>
          <w:lang w:val="en-US" w:eastAsia="zh-CN" w:bidi="ar-SA"/>
        </w:rPr>
        <w:t>pH、色度、阴离子表面活性剂、氨氮、耗氧量、硫化物、氯化物、氟化物、氰化物、硝酸盐、亚硝酸盐、硫酸盐、汞、镍、砷、铅、锑、锌、硒、锡、硼、甲苯、二甲苯、丙酮、甲醛、甲醇、乙醇、苯酚、间-甲酚、邻苯二酚、苯胺及联苯胺类、三氯苯、三溴甲烷、AOX、苯并[a]芘、苯并[a]蒽、苯并[b]荧蒽、苯并[k荧蒽、二苯并[a,h]蔥、茚并[1,2,3-cd]芘、二丙二醇甲醚、二丙二醇丁醚、</w:t>
      </w:r>
      <w:r>
        <w:rPr>
          <w:rFonts w:hint="default" w:ascii="仿宋" w:hAnsi="仿宋" w:eastAsia="仿宋" w:cs="仿宋"/>
          <w:b w:val="0"/>
          <w:bCs w:val="0"/>
          <w:color w:val="7030A0"/>
          <w:kern w:val="2"/>
          <w:sz w:val="24"/>
          <w:szCs w:val="24"/>
          <w:lang w:val="en-US" w:eastAsia="zh-CN" w:bidi="ar-SA"/>
        </w:rPr>
        <w:t>二甲基甲酰胺</w:t>
      </w:r>
      <w:r>
        <w:rPr>
          <w:rFonts w:hint="eastAsia" w:ascii="仿宋" w:hAnsi="仿宋" w:eastAsia="仿宋" w:cs="仿宋"/>
          <w:b w:val="0"/>
          <w:bCs w:val="0"/>
          <w:color w:val="7030A0"/>
          <w:kern w:val="2"/>
          <w:sz w:val="24"/>
          <w:szCs w:val="24"/>
          <w:lang w:val="en-US" w:eastAsia="zh-CN" w:bidi="ar-SA"/>
        </w:rPr>
        <w:t>、</w:t>
      </w:r>
      <w:r>
        <w:rPr>
          <w:rFonts w:hint="eastAsia" w:ascii="仿宋" w:hAnsi="仿宋" w:eastAsia="仿宋" w:cs="仿宋"/>
          <w:b w:val="0"/>
          <w:bCs w:val="0"/>
          <w:color w:val="auto"/>
          <w:kern w:val="2"/>
          <w:sz w:val="24"/>
          <w:szCs w:val="24"/>
          <w:lang w:val="en-US" w:eastAsia="zh-CN" w:bidi="ar-SA"/>
        </w:rPr>
        <w:t>石油烃（C</w:t>
      </w:r>
      <w:r>
        <w:rPr>
          <w:rFonts w:hint="eastAsia" w:ascii="仿宋" w:hAnsi="仿宋" w:eastAsia="仿宋" w:cs="仿宋"/>
          <w:b w:val="0"/>
          <w:bCs w:val="0"/>
          <w:color w:val="auto"/>
          <w:kern w:val="2"/>
          <w:sz w:val="24"/>
          <w:szCs w:val="24"/>
          <w:vertAlign w:val="subscript"/>
          <w:lang w:val="en-US" w:eastAsia="zh-CN" w:bidi="ar-SA"/>
        </w:rPr>
        <w:t>6</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9</w:t>
      </w:r>
      <w:r>
        <w:rPr>
          <w:rFonts w:hint="eastAsia" w:ascii="仿宋" w:hAnsi="仿宋" w:eastAsia="仿宋" w:cs="仿宋"/>
          <w:b w:val="0"/>
          <w:bCs w:val="0"/>
          <w:color w:val="auto"/>
          <w:kern w:val="2"/>
          <w:sz w:val="24"/>
          <w:szCs w:val="24"/>
          <w:lang w:val="en-US" w:eastAsia="zh-CN" w:bidi="ar-SA"/>
        </w:rPr>
        <w:t>）、石油烃（C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）、甲基叔丁基醚。</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12" w:name="_Toc19775"/>
      <w:bookmarkStart w:id="13" w:name="_Toc10178"/>
      <w:r>
        <w:rPr>
          <w:rFonts w:hint="eastAsia" w:ascii="仿宋" w:hAnsi="仿宋" w:eastAsia="仿宋" w:cs="仿宋"/>
          <w:b/>
          <w:bCs/>
          <w:color w:val="auto"/>
          <w:lang w:val="en-US" w:eastAsia="zh-CN"/>
        </w:rPr>
        <w:t>二、初步采样调查</w:t>
      </w:r>
      <w:bookmarkEnd w:id="12"/>
      <w:bookmarkEnd w:id="13"/>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kern w:val="2"/>
          <w:sz w:val="24"/>
          <w:szCs w:val="20"/>
          <w:lang w:val="en-US" w:eastAsia="zh-CN" w:bidi="ar-SA"/>
        </w:rPr>
      </w:pPr>
      <w:r>
        <w:rPr>
          <w:rFonts w:hint="eastAsia" w:ascii="仿宋" w:hAnsi="仿宋" w:eastAsia="仿宋" w:cs="仿宋"/>
          <w:color w:val="auto"/>
          <w:lang w:val="en-US" w:eastAsia="zh-CN"/>
        </w:rPr>
        <w:t>第二阶段土壤污染状况调查初步采样时间为2023年12月19日。</w:t>
      </w:r>
      <w:r>
        <w:rPr>
          <w:rFonts w:hint="default" w:ascii="Times New Roman" w:hAnsi="Times New Roman" w:eastAsia="仿宋" w:cs="Times New Roman"/>
          <w:color w:val="auto"/>
          <w:sz w:val="24"/>
          <w:szCs w:val="24"/>
          <w:lang w:val="en-US" w:eastAsia="zh-CN"/>
        </w:rPr>
        <w:t>本次土壤污染状况调查共布设</w:t>
      </w:r>
      <w:r>
        <w:rPr>
          <w:rFonts w:hint="eastAsia" w:eastAsia="仿宋" w:cs="Times New Roman"/>
          <w:color w:val="auto"/>
          <w:sz w:val="24"/>
          <w:szCs w:val="24"/>
          <w:lang w:val="en-US" w:eastAsia="zh-CN"/>
        </w:rPr>
        <w:t>93</w:t>
      </w:r>
      <w:r>
        <w:rPr>
          <w:rFonts w:hint="default" w:ascii="Times New Roman" w:hAnsi="Times New Roman" w:eastAsia="仿宋" w:cs="Times New Roman"/>
          <w:color w:val="auto"/>
          <w:sz w:val="24"/>
          <w:szCs w:val="24"/>
          <w:lang w:val="en-US" w:eastAsia="zh-CN"/>
        </w:rPr>
        <w:t>个土壤采样点位（包含一个土壤对照采样点</w:t>
      </w:r>
      <w:r>
        <w:rPr>
          <w:rFonts w:hint="eastAsia" w:eastAsia="仿宋" w:cs="Times New Roman"/>
          <w:color w:val="auto"/>
          <w:sz w:val="24"/>
          <w:szCs w:val="24"/>
          <w:lang w:val="en-US" w:eastAsia="zh-CN"/>
        </w:rPr>
        <w:t>，12个堆土表层样</w:t>
      </w:r>
      <w:r>
        <w:rPr>
          <w:rFonts w:hint="default" w:ascii="Times New Roman" w:hAnsi="Times New Roman" w:eastAsia="仿宋" w:cs="Times New Roman"/>
          <w:color w:val="auto"/>
          <w:sz w:val="24"/>
          <w:szCs w:val="24"/>
          <w:lang w:val="en-US" w:eastAsia="zh-CN"/>
        </w:rPr>
        <w:t>）</w:t>
      </w:r>
      <w:r>
        <w:rPr>
          <w:rFonts w:hint="eastAsia" w:ascii="仿宋" w:hAnsi="仿宋" w:eastAsia="仿宋" w:cs="仿宋"/>
          <w:color w:val="auto"/>
          <w:lang w:val="en-US" w:eastAsia="zh-CN"/>
        </w:rPr>
        <w:t>，</w:t>
      </w:r>
      <w:r>
        <w:rPr>
          <w:rFonts w:hint="eastAsia" w:ascii="Times New Roman" w:hAnsi="Times New Roman" w:eastAsia="仿宋" w:cs="Times New Roman"/>
          <w:color w:val="auto"/>
          <w:kern w:val="2"/>
          <w:sz w:val="24"/>
          <w:szCs w:val="20"/>
          <w:lang w:val="en-US" w:eastAsia="zh-CN" w:bidi="ar-SA"/>
        </w:rPr>
        <w:t>其中T51、T52、T53、T54、T55、T56、T57、T58、T0</w:t>
      </w:r>
      <w:r>
        <w:rPr>
          <w:rFonts w:hint="default" w:ascii="Times New Roman" w:hAnsi="Times New Roman" w:eastAsia="仿宋" w:cs="Times New Roman"/>
          <w:color w:val="auto"/>
          <w:kern w:val="2"/>
          <w:sz w:val="24"/>
          <w:szCs w:val="20"/>
          <w:lang w:val="en-US" w:eastAsia="zh-CN" w:bidi="ar-SA"/>
        </w:rPr>
        <w:t>土壤采样深度为</w:t>
      </w:r>
      <w:r>
        <w:rPr>
          <w:rFonts w:hint="eastAsia" w:ascii="Times New Roman" w:hAnsi="Times New Roman" w:eastAsia="仿宋" w:cs="Times New Roman"/>
          <w:color w:val="auto"/>
          <w:kern w:val="2"/>
          <w:sz w:val="24"/>
          <w:szCs w:val="20"/>
          <w:lang w:val="en-US" w:eastAsia="zh-CN" w:bidi="ar-SA"/>
        </w:rPr>
        <w:t>9</w:t>
      </w:r>
      <w:r>
        <w:rPr>
          <w:rFonts w:hint="default" w:ascii="Times New Roman" w:hAnsi="Times New Roman" w:eastAsia="仿宋" w:cs="Times New Roman"/>
          <w:color w:val="auto"/>
          <w:kern w:val="2"/>
          <w:sz w:val="24"/>
          <w:szCs w:val="20"/>
          <w:lang w:val="en-US" w:eastAsia="zh-CN" w:bidi="ar-SA"/>
        </w:rPr>
        <w:t>m，</w:t>
      </w:r>
      <w:r>
        <w:rPr>
          <w:rFonts w:hint="eastAsia" w:ascii="Times New Roman" w:hAnsi="Times New Roman" w:eastAsia="仿宋" w:cs="Times New Roman"/>
          <w:color w:val="auto"/>
          <w:kern w:val="2"/>
          <w:sz w:val="24"/>
          <w:szCs w:val="20"/>
          <w:lang w:val="en-US" w:eastAsia="zh-CN" w:bidi="ar-SA"/>
        </w:rPr>
        <w:t>其余土壤点位采样深度为6m</w:t>
      </w:r>
      <w:r>
        <w:rPr>
          <w:rFonts w:hint="default" w:ascii="Times New Roman" w:hAnsi="Times New Roman" w:eastAsia="仿宋" w:cs="Times New Roman"/>
          <w:color w:val="auto"/>
          <w:sz w:val="24"/>
          <w:szCs w:val="24"/>
          <w:lang w:val="en-US" w:eastAsia="zh-CN"/>
        </w:rPr>
        <w:t>，共送检</w:t>
      </w:r>
      <w:r>
        <w:rPr>
          <w:rFonts w:hint="eastAsia" w:eastAsia="仿宋" w:cs="Times New Roman"/>
          <w:color w:val="auto"/>
          <w:sz w:val="24"/>
          <w:szCs w:val="24"/>
          <w:lang w:val="en-US" w:eastAsia="zh-CN"/>
        </w:rPr>
        <w:t>428</w:t>
      </w:r>
      <w:r>
        <w:rPr>
          <w:rFonts w:hint="default" w:ascii="Times New Roman" w:hAnsi="Times New Roman" w:eastAsia="仿宋" w:cs="Times New Roman"/>
          <w:color w:val="auto"/>
          <w:szCs w:val="18"/>
          <w:lang w:val="en-US" w:eastAsia="zh-CN"/>
        </w:rPr>
        <w:t>个土壤样品（包括</w:t>
      </w:r>
      <w:r>
        <w:rPr>
          <w:rFonts w:hint="eastAsia" w:eastAsia="仿宋" w:cs="Times New Roman"/>
          <w:color w:val="auto"/>
          <w:szCs w:val="18"/>
          <w:lang w:val="en-US" w:eastAsia="zh-CN"/>
        </w:rPr>
        <w:t>6</w:t>
      </w:r>
      <w:r>
        <w:rPr>
          <w:rFonts w:hint="default" w:ascii="Times New Roman" w:hAnsi="Times New Roman" w:eastAsia="仿宋" w:cs="Times New Roman"/>
          <w:color w:val="auto"/>
          <w:szCs w:val="18"/>
          <w:lang w:val="en-US" w:eastAsia="zh-CN"/>
        </w:rPr>
        <w:t>个对照土样品，</w:t>
      </w:r>
      <w:r>
        <w:rPr>
          <w:rFonts w:hint="eastAsia" w:eastAsia="仿宋" w:cs="Times New Roman"/>
          <w:color w:val="auto"/>
          <w:szCs w:val="18"/>
          <w:lang w:val="en-US" w:eastAsia="zh-CN"/>
        </w:rPr>
        <w:t>41</w:t>
      </w:r>
      <w:r>
        <w:rPr>
          <w:rFonts w:hint="default" w:ascii="Times New Roman" w:hAnsi="Times New Roman" w:eastAsia="仿宋" w:cs="Times New Roman"/>
          <w:color w:val="auto"/>
          <w:szCs w:val="18"/>
          <w:lang w:val="en-US" w:eastAsia="zh-CN"/>
        </w:rPr>
        <w:t>个平行样）</w:t>
      </w:r>
      <w:r>
        <w:rPr>
          <w:rFonts w:hint="eastAsia" w:ascii="仿宋" w:hAnsi="仿宋" w:eastAsia="仿宋" w:cs="仿宋"/>
          <w:color w:val="auto"/>
          <w:lang w:val="en-US" w:eastAsia="zh-CN"/>
        </w:rPr>
        <w:t>，检测项目包括：</w:t>
      </w:r>
      <w:r>
        <w:rPr>
          <w:rFonts w:hint="eastAsia" w:ascii="仿宋" w:hAnsi="仿宋" w:eastAsia="仿宋" w:cs="仿宋"/>
          <w:color w:val="auto"/>
          <w:sz w:val="24"/>
          <w:szCs w:val="24"/>
        </w:rPr>
        <w:t>pH值、</w:t>
      </w:r>
      <w:r>
        <w:rPr>
          <w:rFonts w:hint="eastAsia" w:ascii="仿宋" w:hAnsi="仿宋" w:eastAsia="仿宋" w:cs="仿宋"/>
          <w:color w:val="auto"/>
          <w:sz w:val="24"/>
          <w:szCs w:val="24"/>
          <w:lang w:val="en-US" w:eastAsia="zh-CN"/>
        </w:rPr>
        <w:t>GB36600中表1基本项目45项、</w:t>
      </w:r>
      <w:r>
        <w:rPr>
          <w:rFonts w:hint="eastAsia" w:ascii="仿宋" w:hAnsi="仿宋" w:eastAsia="仿宋" w:cs="仿宋"/>
          <w:color w:val="auto"/>
          <w:sz w:val="24"/>
          <w:szCs w:val="24"/>
          <w:vertAlign w:val="baseline"/>
          <w:lang w:val="en-US" w:eastAsia="zh-CN"/>
        </w:rPr>
        <w:t>氨氮、硫化物、氟化物、氯化物、氰化物、硫酸盐、硝酸盐、亚硝酸盐、石油烃（C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vertAlign w:val="baseline"/>
          <w:lang w:val="en-US" w:eastAsia="zh-CN"/>
        </w:rPr>
        <w:t>）、锑、锡、锌、硒、硼、丙酮、苯酚、甲醛、</w:t>
      </w:r>
      <w:r>
        <w:rPr>
          <w:rFonts w:hint="eastAsia" w:ascii="仿宋" w:hAnsi="仿宋" w:eastAsia="仿宋" w:cs="仿宋"/>
          <w:color w:val="auto"/>
          <w:sz w:val="24"/>
          <w:szCs w:val="24"/>
          <w:lang w:val="en-US" w:eastAsia="zh-CN"/>
        </w:rPr>
        <w:t>甲醇</w:t>
      </w:r>
      <w:r>
        <w:rPr>
          <w:rFonts w:hint="eastAsia" w:ascii="仿宋" w:hAnsi="仿宋" w:eastAsia="仿宋" w:cs="仿宋"/>
          <w:color w:val="auto"/>
          <w:sz w:val="24"/>
          <w:szCs w:val="24"/>
          <w:vertAlign w:val="baseline"/>
          <w:lang w:val="en-US" w:eastAsia="zh-CN"/>
        </w:rPr>
        <w:t>、丙烯酸乙酯、甲基叔丁基醚、</w:t>
      </w:r>
      <w:r>
        <w:rPr>
          <w:rFonts w:hint="eastAsia" w:ascii="仿宋" w:hAnsi="仿宋" w:eastAsia="仿宋" w:cs="仿宋"/>
          <w:b w:val="0"/>
          <w:bCs w:val="0"/>
          <w:color w:val="auto"/>
          <w:kern w:val="2"/>
          <w:sz w:val="24"/>
          <w:szCs w:val="24"/>
          <w:lang w:val="en-US" w:eastAsia="zh-CN" w:bidi="ar-SA"/>
        </w:rPr>
        <w:t>二甲基甲酰胺、三氯苯（1,2,3三氯苯、1,2,4三氯苯）</w:t>
      </w:r>
      <w:r>
        <w:rPr>
          <w:rFonts w:hint="eastAsia" w:ascii="仿宋" w:hAnsi="仿宋" w:eastAsia="仿宋" w:cs="仿宋"/>
          <w:color w:val="auto"/>
          <w:sz w:val="24"/>
          <w:szCs w:val="24"/>
          <w:vertAlign w:val="baseline"/>
          <w:lang w:val="en-US" w:eastAsia="zh-CN"/>
        </w:rPr>
        <w:t>、三溴甲烷、</w:t>
      </w:r>
      <w:r>
        <w:rPr>
          <w:rFonts w:hint="eastAsia" w:ascii="仿宋" w:hAnsi="仿宋" w:eastAsia="仿宋" w:cs="仿宋"/>
          <w:b w:val="0"/>
          <w:bCs w:val="0"/>
          <w:color w:val="auto"/>
          <w:kern w:val="2"/>
          <w:sz w:val="24"/>
          <w:szCs w:val="24"/>
          <w:lang w:val="en-US" w:eastAsia="zh-CN" w:bidi="ar-SA"/>
        </w:rPr>
        <w:t>邻苯二酚、间-甲酚、三乙胺、</w:t>
      </w:r>
      <w:r>
        <w:rPr>
          <w:rFonts w:hint="eastAsia" w:ascii="仿宋" w:hAnsi="仿宋" w:eastAsia="仿宋" w:cs="仿宋"/>
          <w:color w:val="auto"/>
          <w:sz w:val="24"/>
          <w:szCs w:val="24"/>
          <w:vertAlign w:val="baseline"/>
          <w:lang w:val="en-US" w:eastAsia="zh-CN"/>
        </w:rPr>
        <w:t>苯胺类及联苯胺类（2-萘胺、联苯胺、2-甲氧基苯胺、2,6-二甲基苯胺、4-甲基苯胺、2-甲基苯胺、2,4-二甲基苯胺、3-氯苯胺、3,3-二氯联苯胺、4-氯苯胺、4-硝基苯胺、3-硝基苯胺、3-甲基苯胺、N-亚硝基二苯胺）</w:t>
      </w:r>
      <w:r>
        <w:rPr>
          <w:rFonts w:hint="eastAsia" w:ascii="仿宋" w:hAnsi="仿宋" w:eastAsia="仿宋" w:cs="仿宋"/>
          <w:color w:val="auto"/>
          <w:kern w:val="2"/>
          <w:sz w:val="24"/>
          <w:szCs w:val="20"/>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Cs w:val="21"/>
          <w:lang w:val="en-US" w:eastAsia="zh-CN"/>
        </w:rPr>
      </w:pPr>
      <w:r>
        <w:rPr>
          <w:rFonts w:hint="default" w:ascii="Times New Roman" w:hAnsi="Times New Roman" w:eastAsia="仿宋" w:cs="Times New Roman"/>
          <w:b w:val="0"/>
          <w:bCs w:val="0"/>
          <w:color w:val="auto"/>
          <w:kern w:val="2"/>
          <w:sz w:val="24"/>
          <w:szCs w:val="24"/>
          <w:highlight w:val="none"/>
          <w:lang w:val="en-US" w:eastAsia="zh-CN" w:bidi="ar-SA"/>
        </w:rPr>
        <w:t>本次调查地块内</w:t>
      </w:r>
      <w:r>
        <w:rPr>
          <w:rFonts w:hint="eastAsia" w:ascii="仿宋" w:hAnsi="仿宋" w:eastAsia="仿宋" w:cs="仿宋"/>
          <w:color w:val="auto"/>
          <w:lang w:val="en-US" w:eastAsia="zh-CN"/>
        </w:rPr>
        <w:t>共布设38个地下水监测井（包含一个地下水对照采样点），井深不少于6m，采集43个地下水样品（包含5个平行样），监测项目包括：</w:t>
      </w:r>
      <w:r>
        <w:rPr>
          <w:rFonts w:hint="eastAsia" w:ascii="仿宋" w:hAnsi="仿宋" w:eastAsia="仿宋" w:cs="仿宋"/>
          <w:color w:val="auto"/>
          <w:szCs w:val="21"/>
          <w:lang w:val="en-US" w:eastAsia="zh-CN"/>
        </w:rPr>
        <w:t>pH、GB36660中表1基本项目45项、色度、氨氮、硫化物、氯化物、硫酸盐、耗氧量、硝酸盐、亚硝酸盐、氟化物、挥发酚、阴离子表面活性剂、嗅和味、浑浊度、肉眼可见物、总硬度、溶解性总固体、铁、锰、铝、钠、氰化物、碘化物、石油烃（C</w:t>
      </w:r>
      <w:r>
        <w:rPr>
          <w:rFonts w:hint="eastAsia" w:ascii="仿宋" w:hAnsi="仿宋" w:eastAsia="仿宋" w:cs="仿宋"/>
          <w:color w:val="auto"/>
          <w:szCs w:val="21"/>
          <w:vertAlign w:val="subscript"/>
          <w:lang w:val="en-US" w:eastAsia="zh-CN"/>
        </w:rPr>
        <w:t>10</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40</w:t>
      </w:r>
      <w:r>
        <w:rPr>
          <w:rFonts w:hint="eastAsia" w:ascii="仿宋" w:hAnsi="仿宋" w:eastAsia="仿宋" w:cs="仿宋"/>
          <w:color w:val="auto"/>
          <w:szCs w:val="21"/>
          <w:lang w:val="en-US" w:eastAsia="zh-CN"/>
        </w:rPr>
        <w:t>）、石油烃（C</w:t>
      </w:r>
      <w:r>
        <w:rPr>
          <w:rFonts w:hint="eastAsia" w:ascii="仿宋" w:hAnsi="仿宋" w:eastAsia="仿宋" w:cs="仿宋"/>
          <w:color w:val="auto"/>
          <w:szCs w:val="21"/>
          <w:vertAlign w:val="subscript"/>
          <w:lang w:val="en-US" w:eastAsia="zh-CN"/>
        </w:rPr>
        <w:t>6</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9</w:t>
      </w:r>
      <w:r>
        <w:rPr>
          <w:rFonts w:hint="eastAsia" w:ascii="仿宋" w:hAnsi="仿宋" w:eastAsia="仿宋" w:cs="仿宋"/>
          <w:color w:val="auto"/>
          <w:szCs w:val="21"/>
          <w:lang w:val="en-US" w:eastAsia="zh-CN"/>
        </w:rPr>
        <w:t>）、锑、锡、锌、硒、硼、丙酮、苯酚、甲醛、甲醇、丙烯酸乙酯、甲基叔丁基醚、二甲基甲酰胺、1，2,3三氯苯、1,2,4三氯苯、三溴甲烷、邻苯二酚、间-甲酚、三乙胺、可吸附有机卤素、苯胺类及联苯胺类（2-萘胺、联苯胺、2-甲氧基苯胺、2,6-二甲基苯胺、4-甲基苯胺、2-甲基苯胺、2,4-二甲基苯胺、3-氯苯胺、3,3-二氯联苯胺、4-氯苯胺、4-硝基苯胺、3-硝基苯胺）。</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Cs w:val="24"/>
          <w:lang w:eastAsia="zh-CN"/>
        </w:rPr>
      </w:pPr>
      <w:r>
        <w:rPr>
          <w:rFonts w:hint="eastAsia" w:ascii="仿宋" w:hAnsi="仿宋" w:eastAsia="仿宋" w:cs="仿宋"/>
          <w:color w:val="auto"/>
          <w:lang w:val="en-US" w:eastAsia="zh-CN"/>
        </w:rPr>
        <w:t>本次调查共布设2个地表水采样点，共采集3个地表水样品（包含1个平行样），送检3个地表水样品，分析检测3个地表水样品。地表水检测指标为pH、GB36600中表1的45个基本项目、</w:t>
      </w:r>
      <w:r>
        <w:rPr>
          <w:rFonts w:hint="eastAsia" w:ascii="仿宋" w:hAnsi="仿宋" w:eastAsia="仿宋" w:cs="仿宋"/>
          <w:color w:val="auto"/>
          <w:szCs w:val="24"/>
        </w:rPr>
        <w:t>COD、色度、氨氮、硫化物、氯化物、硫酸盐、耗氧量、硝酸盐、亚硝酸盐、氟化物、挥发酚、阴离子表面活性剂、可吸附有机卤素</w:t>
      </w:r>
      <w:r>
        <w:rPr>
          <w:rFonts w:hint="eastAsia" w:ascii="仿宋" w:hAnsi="仿宋" w:eastAsia="仿宋" w:cs="仿宋"/>
          <w:color w:val="auto"/>
          <w:szCs w:val="24"/>
          <w:lang w:eastAsia="zh-CN"/>
        </w:rPr>
        <w:t>、</w:t>
      </w:r>
      <w:r>
        <w:rPr>
          <w:rFonts w:hint="eastAsia" w:ascii="仿宋" w:hAnsi="仿宋" w:eastAsia="仿宋" w:cs="仿宋"/>
          <w:color w:val="auto"/>
          <w:szCs w:val="24"/>
        </w:rPr>
        <w:t>石油烃（C10-C40）、石油烃（C6-C9）、锑、锡、锌、硒、硼、丙酮、苯酚、甲醛、甲醇、丙烯酸乙酯、甲基叔丁基醚、二甲基甲酰胺、1，2,3三氯苯、1,2,4三氯苯、三溴甲烷、邻苯二酚、间-甲酚、三乙胺、苯胺类及联苯胺类（2-萘胺、联苯胺、2-甲氧基苯胺、2,6-二甲基苯胺、4-甲基苯胺、2-甲基苯胺、2,4-二甲基苯胺、3-氯苯胺、3,3-二氯联苯胺、4-氯苯胺、4-硝基苯胺、3-硝基苯胺）</w:t>
      </w:r>
      <w:r>
        <w:rPr>
          <w:rFonts w:hint="eastAsia" w:ascii="仿宋" w:hAnsi="仿宋" w:eastAsia="仿宋" w:cs="仿宋"/>
          <w:color w:val="auto"/>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本次调查地块共布设底泥采样点2个，共采集3个底泥样品，送检3个底泥样品（包含1个平行样），分析检测3个底泥样品。</w:t>
      </w:r>
      <w:r>
        <w:rPr>
          <w:rFonts w:hint="eastAsia" w:ascii="仿宋" w:hAnsi="仿宋" w:eastAsia="仿宋" w:cs="仿宋"/>
          <w:color w:val="auto"/>
          <w:szCs w:val="24"/>
          <w:lang w:val="en-US" w:eastAsia="zh-CN"/>
        </w:rPr>
        <w:t>底泥检测指标与土壤保持一致。</w:t>
      </w:r>
    </w:p>
    <w:p>
      <w:pPr>
        <w:keepNext w:val="0"/>
        <w:keepLines w:val="0"/>
        <w:pageBreakBefore w:val="0"/>
        <w:widowControl w:val="0"/>
        <w:numPr>
          <w:ilvl w:val="0"/>
          <w:numId w:val="3"/>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14" w:name="_Toc4874"/>
      <w:bookmarkStart w:id="15" w:name="_Toc23280"/>
      <w:r>
        <w:rPr>
          <w:rFonts w:hint="eastAsia" w:ascii="仿宋" w:hAnsi="仿宋" w:eastAsia="仿宋" w:cs="仿宋"/>
          <w:b/>
          <w:bCs/>
          <w:color w:val="auto"/>
          <w:lang w:val="en-US" w:eastAsia="zh-CN"/>
        </w:rPr>
        <w:t>检测结果分析</w:t>
      </w:r>
      <w:bookmarkEnd w:id="14"/>
      <w:bookmarkEnd w:id="15"/>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仿宋" w:cs="Times New Roman"/>
          <w:color w:val="0000FF"/>
          <w:sz w:val="24"/>
          <w:szCs w:val="24"/>
          <w:lang w:val="en-US" w:eastAsia="zh-CN"/>
        </w:rPr>
      </w:pPr>
      <w:r>
        <w:rPr>
          <w:rFonts w:hint="eastAsia" w:ascii="仿宋" w:hAnsi="仿宋" w:eastAsia="仿宋" w:cs="仿宋"/>
          <w:color w:val="0000FF"/>
          <w:lang w:val="en-US" w:eastAsia="zh-CN"/>
        </w:rPr>
        <w:t>（1）</w:t>
      </w:r>
      <w:r>
        <w:rPr>
          <w:rFonts w:hint="eastAsia" w:ascii="Times New Roman" w:hAnsi="Times New Roman" w:eastAsia="仿宋" w:cs="Times New Roman"/>
          <w:color w:val="0000FF"/>
          <w:sz w:val="24"/>
          <w:szCs w:val="24"/>
          <w:lang w:val="en-US" w:eastAsia="zh-CN"/>
        </w:rPr>
        <w:t>土壤样品分析：</w:t>
      </w:r>
      <w:r>
        <w:rPr>
          <w:rFonts w:hint="eastAsia" w:ascii="仿宋" w:hAnsi="仿宋" w:eastAsia="仿宋" w:cs="仿宋"/>
          <w:color w:val="0000FF"/>
          <w:sz w:val="24"/>
          <w:szCs w:val="24"/>
        </w:rPr>
        <w:t>土壤各指标均未超过《土壤环境质量建设用地土壤污染风险管控标准</w:t>
      </w:r>
      <w:r>
        <w:rPr>
          <w:rFonts w:hint="eastAsia" w:ascii="仿宋" w:hAnsi="仿宋" w:eastAsia="仿宋" w:cs="仿宋"/>
          <w:color w:val="0000FF"/>
          <w:sz w:val="24"/>
          <w:szCs w:val="24"/>
          <w:lang w:eastAsia="zh-CN"/>
        </w:rPr>
        <w:t>（</w:t>
      </w:r>
      <w:r>
        <w:rPr>
          <w:rFonts w:hint="eastAsia" w:ascii="仿宋" w:hAnsi="仿宋" w:eastAsia="仿宋" w:cs="仿宋"/>
          <w:color w:val="0000FF"/>
          <w:sz w:val="24"/>
          <w:szCs w:val="24"/>
          <w:lang w:val="en-US" w:eastAsia="zh-CN"/>
        </w:rPr>
        <w:t>试行</w:t>
      </w:r>
      <w:r>
        <w:rPr>
          <w:rFonts w:hint="eastAsia" w:ascii="仿宋" w:hAnsi="仿宋" w:eastAsia="仿宋" w:cs="仿宋"/>
          <w:color w:val="0000FF"/>
          <w:sz w:val="24"/>
          <w:szCs w:val="24"/>
          <w:lang w:eastAsia="zh-CN"/>
        </w:rPr>
        <w:t>）</w:t>
      </w:r>
      <w:r>
        <w:rPr>
          <w:rFonts w:hint="eastAsia" w:ascii="仿宋" w:hAnsi="仿宋" w:eastAsia="仿宋" w:cs="仿宋"/>
          <w:color w:val="0000FF"/>
          <w:sz w:val="24"/>
          <w:szCs w:val="24"/>
        </w:rPr>
        <w:t>》（GB36600-2018）</w:t>
      </w:r>
      <w:r>
        <w:rPr>
          <w:rFonts w:hint="eastAsia" w:ascii="仿宋" w:hAnsi="仿宋" w:eastAsia="仿宋" w:cs="仿宋"/>
          <w:color w:val="0000FF"/>
          <w:sz w:val="24"/>
          <w:szCs w:val="24"/>
          <w:lang w:val="en-US" w:eastAsia="zh-CN"/>
        </w:rPr>
        <w:t>、《深圳市 建设用地土壤污染风险筛选值和管制值（DB4403_T67-2020）》、《河北省 建设用地土壤污染风险筛选值(DB13_T5216-2020）》、《江</w:t>
      </w:r>
      <w:r>
        <w:rPr>
          <w:rFonts w:hint="eastAsia" w:ascii="仿宋" w:hAnsi="仿宋" w:eastAsia="仿宋" w:cs="仿宋"/>
          <w:b w:val="0"/>
          <w:bCs w:val="0"/>
          <w:color w:val="0000FF"/>
          <w:sz w:val="24"/>
          <w:szCs w:val="32"/>
          <w:lang w:val="en-US" w:eastAsia="zh-CN"/>
        </w:rPr>
        <w:t>苏省 建设用地土壤污染风险筛选值（DB32/T 4712-2024）》、《黑龙江省土壤污染防治风险筛选指导值（试行）》（DB23/T3314-2022）</w:t>
      </w:r>
      <w:r>
        <w:rPr>
          <w:rFonts w:hint="eastAsia" w:ascii="仿宋" w:hAnsi="仿宋" w:eastAsia="仿宋" w:cs="仿宋"/>
          <w:color w:val="0000FF"/>
          <w:sz w:val="24"/>
          <w:szCs w:val="24"/>
        </w:rPr>
        <w:t>中</w:t>
      </w:r>
      <w:r>
        <w:rPr>
          <w:rFonts w:hint="eastAsia" w:ascii="仿宋" w:hAnsi="仿宋" w:eastAsia="仿宋" w:cs="仿宋"/>
          <w:color w:val="0000FF"/>
          <w:sz w:val="24"/>
          <w:szCs w:val="24"/>
          <w:lang w:eastAsia="zh-CN"/>
        </w:rPr>
        <w:t>第</w:t>
      </w:r>
      <w:r>
        <w:rPr>
          <w:rFonts w:hint="eastAsia" w:ascii="仿宋" w:hAnsi="仿宋" w:eastAsia="仿宋" w:cs="仿宋"/>
          <w:color w:val="0000FF"/>
          <w:sz w:val="24"/>
          <w:szCs w:val="24"/>
          <w:lang w:val="en-US" w:eastAsia="zh-CN"/>
        </w:rPr>
        <w:t>一</w:t>
      </w:r>
      <w:r>
        <w:rPr>
          <w:rFonts w:hint="eastAsia" w:ascii="仿宋" w:hAnsi="仿宋" w:eastAsia="仿宋" w:cs="仿宋"/>
          <w:color w:val="0000FF"/>
          <w:sz w:val="24"/>
          <w:szCs w:val="24"/>
          <w:lang w:eastAsia="zh-CN"/>
        </w:rPr>
        <w:t>类</w:t>
      </w:r>
      <w:r>
        <w:rPr>
          <w:rFonts w:hint="eastAsia" w:ascii="仿宋" w:hAnsi="仿宋" w:eastAsia="仿宋" w:cs="仿宋"/>
          <w:color w:val="0000FF"/>
          <w:sz w:val="24"/>
          <w:szCs w:val="24"/>
          <w:lang w:val="en-US" w:eastAsia="zh-CN"/>
        </w:rPr>
        <w:t>用地</w:t>
      </w:r>
      <w:r>
        <w:rPr>
          <w:rFonts w:hint="eastAsia" w:ascii="仿宋" w:hAnsi="仿宋" w:eastAsia="仿宋" w:cs="仿宋"/>
          <w:color w:val="0000FF"/>
          <w:sz w:val="24"/>
          <w:szCs w:val="24"/>
          <w:lang w:eastAsia="zh-CN"/>
        </w:rPr>
        <w:t>筛选值</w:t>
      </w:r>
      <w:r>
        <w:rPr>
          <w:rFonts w:hint="eastAsia" w:ascii="仿宋" w:hAnsi="仿宋" w:eastAsia="仿宋" w:cs="仿宋"/>
          <w:color w:val="0000FF"/>
          <w:sz w:val="24"/>
          <w:szCs w:val="24"/>
          <w:lang w:val="en-US" w:eastAsia="zh-CN"/>
        </w:rPr>
        <w:t>标准及《污染场地风险评估电子表格》计算出的风险控制值结果</w:t>
      </w:r>
      <w:r>
        <w:rPr>
          <w:rFonts w:hint="eastAsia" w:ascii="Times New Roman" w:hAnsi="Times New Roman" w:eastAsia="仿宋" w:cs="Times New Roman"/>
          <w:color w:val="0000FF"/>
          <w:sz w:val="24"/>
          <w:szCs w:val="24"/>
          <w:lang w:val="en-US" w:eastAsia="zh-CN"/>
        </w:rPr>
        <w:t>。个别位于未来规划为公园绿地的土壤采样点位地表以下1.5m范围内的土壤，同时符合江苏省《建设用地土壤污染风险筛选值（DB32/T 4712-2024）》表2筛选值标准。</w:t>
      </w:r>
    </w:p>
    <w:p>
      <w:pPr>
        <w:pStyle w:val="4"/>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color w:val="auto"/>
          <w:kern w:val="2"/>
          <w:sz w:val="24"/>
          <w:szCs w:val="20"/>
          <w:lang w:val="en-US" w:eastAsia="zh-CN" w:bidi="ar-SA"/>
        </w:rPr>
        <w:t>（2）地下水检测结果：</w:t>
      </w:r>
      <w:r>
        <w:rPr>
          <w:rFonts w:hint="eastAsia" w:ascii="仿宋" w:hAnsi="仿宋" w:eastAsia="仿宋" w:cs="仿宋"/>
          <w:b w:val="0"/>
          <w:bCs w:val="0"/>
          <w:color w:val="auto"/>
          <w:kern w:val="2"/>
          <w:sz w:val="24"/>
          <w:szCs w:val="24"/>
          <w:highlight w:val="none"/>
          <w:lang w:val="en-US" w:eastAsia="zh-CN" w:bidi="ar-SA"/>
        </w:rPr>
        <w:t>除浊度、总硬度、溶解性总固体、硫酸根、氯离子、耗氧量、氨氮、硝酸根指标，其余检出指标均符合《地下水质量标准》（GB/T 14848-2017）中IV类水标准及《上海市建设用地土壤污染状况调查、风险评估、风险管控与修复方案编制、风险管控与修复效果评估工作的补充规定（试行）》（沪环土[2020]62号）第一类用地筛选值标准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color w:val="auto"/>
          <w:kern w:val="2"/>
          <w:sz w:val="24"/>
          <w:szCs w:val="20"/>
          <w:lang w:val="en-US" w:eastAsia="zh-CN" w:bidi="ar-SA"/>
        </w:rPr>
        <w:t>。</w:t>
      </w:r>
      <w:r>
        <w:rPr>
          <w:rFonts w:hint="eastAsia" w:ascii="仿宋" w:hAnsi="仿宋" w:eastAsia="仿宋" w:cs="仿宋"/>
          <w:b w:val="0"/>
          <w:bCs w:val="0"/>
          <w:color w:val="auto"/>
          <w:kern w:val="2"/>
          <w:sz w:val="24"/>
          <w:szCs w:val="24"/>
          <w:highlight w:val="none"/>
          <w:lang w:val="en-US" w:eastAsia="zh-CN" w:bidi="ar-SA"/>
        </w:rPr>
        <w:t>浊度、总硬度、溶解性总固体、硫酸根、氯离子、耗氧量、氨氮</w:t>
      </w:r>
      <w:r>
        <w:rPr>
          <w:rFonts w:hint="eastAsia" w:ascii="Times New Roman" w:hAnsi="Times New Roman" w:eastAsia="仿宋" w:cs="Times New Roman"/>
          <w:color w:val="auto"/>
          <w:szCs w:val="21"/>
          <w:lang w:val="en-US" w:eastAsia="zh-CN"/>
        </w:rPr>
        <w:t>超标，其中硫酸根、氯化物、耗氧量、氨氮为本次调查地块的特征因子，超标原因可能为地块内及周边生产活动的长期影响，但均</w:t>
      </w:r>
      <w:r>
        <w:rPr>
          <w:rFonts w:hint="eastAsia" w:ascii="仿宋" w:hAnsi="仿宋" w:eastAsia="仿宋" w:cs="仿宋"/>
          <w:b w:val="0"/>
          <w:bCs w:val="0"/>
          <w:color w:val="auto"/>
          <w:kern w:val="2"/>
          <w:sz w:val="24"/>
          <w:szCs w:val="24"/>
          <w:highlight w:val="none"/>
          <w:lang w:val="en-US" w:eastAsia="zh-CN" w:bidi="ar-SA"/>
        </w:rPr>
        <w:t>为常规化学指标且</w:t>
      </w:r>
      <w:r>
        <w:rPr>
          <w:rFonts w:hint="default" w:ascii="Times New Roman" w:hAnsi="Times New Roman" w:eastAsia="仿宋" w:cs="Times New Roman"/>
          <w:color w:val="auto"/>
          <w:szCs w:val="21"/>
          <w:lang w:val="en-US" w:eastAsia="zh-CN"/>
        </w:rPr>
        <w:t>环境风险较低</w:t>
      </w:r>
      <w:r>
        <w:rPr>
          <w:rFonts w:hint="eastAsia" w:ascii="Times New Roman" w:hAnsi="Times New Roman" w:eastAsia="仿宋" w:cs="Times New Roman"/>
          <w:color w:val="auto"/>
          <w:szCs w:val="21"/>
          <w:lang w:val="en-US" w:eastAsia="zh-CN"/>
        </w:rPr>
        <w:t>，</w:t>
      </w:r>
      <w:r>
        <w:rPr>
          <w:rFonts w:hint="eastAsia" w:ascii="仿宋" w:hAnsi="仿宋" w:eastAsia="仿宋" w:cs="仿宋"/>
          <w:b w:val="0"/>
          <w:bCs w:val="0"/>
          <w:color w:val="auto"/>
          <w:kern w:val="2"/>
          <w:sz w:val="24"/>
          <w:szCs w:val="24"/>
          <w:highlight w:val="none"/>
          <w:lang w:val="en-US" w:eastAsia="zh-CN" w:bidi="ar-SA"/>
        </w:rPr>
        <w:t>无需进行进一步调查。硝酸盐不是</w:t>
      </w:r>
      <w:r>
        <w:rPr>
          <w:rFonts w:hint="default" w:ascii="Times New Roman" w:hAnsi="Times New Roman" w:eastAsia="仿宋" w:cs="Times New Roman"/>
          <w:color w:val="auto"/>
          <w:szCs w:val="21"/>
          <w:lang w:val="en-US" w:eastAsia="zh-CN"/>
        </w:rPr>
        <w:t>本次调查地块</w:t>
      </w:r>
      <w:r>
        <w:rPr>
          <w:rFonts w:hint="eastAsia" w:ascii="Times New Roman" w:hAnsi="Times New Roman" w:eastAsia="仿宋" w:cs="Times New Roman"/>
          <w:color w:val="auto"/>
          <w:szCs w:val="21"/>
          <w:lang w:val="en-US" w:eastAsia="zh-CN"/>
        </w:rPr>
        <w:t>内</w:t>
      </w:r>
      <w:r>
        <w:rPr>
          <w:rFonts w:hint="default" w:ascii="Times New Roman" w:hAnsi="Times New Roman" w:eastAsia="仿宋" w:cs="Times New Roman"/>
          <w:color w:val="auto"/>
          <w:szCs w:val="21"/>
          <w:lang w:val="en-US" w:eastAsia="zh-CN"/>
        </w:rPr>
        <w:t>的特征因子，</w:t>
      </w:r>
      <w:r>
        <w:rPr>
          <w:rFonts w:hint="eastAsia" w:ascii="Times New Roman" w:hAnsi="Times New Roman" w:eastAsia="仿宋" w:cs="Times New Roman"/>
          <w:color w:val="auto"/>
          <w:szCs w:val="21"/>
          <w:lang w:val="en-US" w:eastAsia="zh-CN"/>
        </w:rPr>
        <w:t>根据GB/T-14848-2017，硝酸盐为毒理性指标。</w:t>
      </w:r>
      <w:r>
        <w:rPr>
          <w:rFonts w:hint="eastAsia" w:ascii="仿宋" w:hAnsi="仿宋" w:eastAsia="仿宋" w:cs="仿宋"/>
          <w:b w:val="0"/>
          <w:bCs w:val="0"/>
          <w:color w:val="auto"/>
          <w:kern w:val="2"/>
          <w:sz w:val="24"/>
          <w:szCs w:val="24"/>
          <w:highlight w:val="none"/>
          <w:lang w:val="en-US" w:eastAsia="zh-CN" w:bidi="ar-SA"/>
        </w:rPr>
        <w:t>超标点位为D27，超标倍数为1.36，超标原因可能由于地块西侧最近企业如皋市东皋酱菜厂原辅材料滴漏、生产废水肥田等原因导致。</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（3）周边地表水检测结果：除挥发酚指标外，其余检出因子检出浓度均不超过《地表水质量标准》（GB3838-2002）Ⅲ类标准值。</w:t>
      </w:r>
    </w:p>
    <w:p>
      <w:pPr>
        <w:pStyle w:val="4"/>
        <w:keepNext w:val="0"/>
        <w:keepLines w:val="0"/>
        <w:pageBreakBefore w:val="0"/>
        <w:widowControl w:val="0"/>
        <w:kinsoku/>
        <w:wordWrap/>
        <w:overflowPunct/>
        <w:topLinePunct w:val="0"/>
        <w:autoSpaceDE/>
        <w:autoSpaceDN/>
        <w:bidi w:val="0"/>
        <w:adjustRightInd/>
        <w:snapToGrid/>
        <w:spacing w:after="0" w:afterLines="0"/>
        <w:textAlignment w:val="auto"/>
        <w:rPr>
          <w:rFonts w:hint="eastAsia"/>
          <w:color w:val="auto"/>
          <w:lang w:val="en-US" w:eastAsia="zh-CN"/>
        </w:rPr>
      </w:pPr>
      <w:r>
        <w:rPr>
          <w:rFonts w:hint="eastAsia" w:ascii="仿宋" w:hAnsi="仿宋" w:eastAsia="仿宋" w:cs="仿宋"/>
          <w:b w:val="0"/>
          <w:bCs w:val="0"/>
          <w:color w:val="auto"/>
          <w:kern w:val="2"/>
          <w:sz w:val="24"/>
          <w:szCs w:val="24"/>
          <w:lang w:val="en-US" w:eastAsia="zh-CN" w:bidi="ar-SA"/>
        </w:rPr>
        <w:t>（4）周边河流底泥检测结果；与土壤监测项目一致，</w:t>
      </w:r>
      <w:r>
        <w:rPr>
          <w:rFonts w:hint="eastAsia" w:ascii="仿宋" w:hAnsi="仿宋" w:eastAsia="仿宋" w:cs="仿宋"/>
          <w:b w:val="0"/>
          <w:bCs w:val="0"/>
          <w:color w:val="auto"/>
          <w:kern w:val="2"/>
          <w:sz w:val="24"/>
          <w:szCs w:val="24"/>
          <w:highlight w:val="none"/>
          <w:lang w:val="en-US" w:eastAsia="zh-CN" w:bidi="ar-SA"/>
        </w:rPr>
        <w:t>除铅、锑指标，其余检出因子检出浓度</w:t>
      </w:r>
      <w:r>
        <w:rPr>
          <w:rFonts w:hint="eastAsia" w:ascii="仿宋" w:hAnsi="仿宋" w:eastAsia="仿宋" w:cs="仿宋"/>
          <w:b w:val="0"/>
          <w:bCs w:val="0"/>
          <w:color w:val="auto"/>
          <w:kern w:val="2"/>
          <w:sz w:val="24"/>
          <w:szCs w:val="24"/>
          <w:lang w:val="en-US" w:eastAsia="zh-CN" w:bidi="ar-SA"/>
        </w:rPr>
        <w:t>均未超过《土壤环境质量建设用地土壤污染风险管控标准（试行）》（GB36600-2018）中第一类用地筛选值。</w:t>
      </w:r>
    </w:p>
    <w:p>
      <w:pPr>
        <w:pStyle w:val="11"/>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auto"/>
          <w:lang w:val="en-US" w:eastAsia="zh-CN"/>
        </w:rPr>
      </w:pPr>
      <w:bookmarkStart w:id="16" w:name="_Toc3705"/>
      <w:bookmarkStart w:id="17" w:name="_Toc31493"/>
      <w:r>
        <w:rPr>
          <w:rFonts w:hint="eastAsia" w:ascii="仿宋" w:hAnsi="仿宋" w:eastAsia="仿宋" w:cs="仿宋"/>
          <w:b/>
          <w:bCs/>
          <w:color w:val="auto"/>
          <w:lang w:val="en-US" w:eastAsia="zh-CN"/>
        </w:rPr>
        <w:t>四、结论</w:t>
      </w:r>
      <w:bookmarkEnd w:id="16"/>
      <w:bookmarkEnd w:id="17"/>
    </w:p>
    <w:p>
      <w:pPr>
        <w:pStyle w:val="11"/>
        <w:keepNext w:val="0"/>
        <w:keepLines w:val="0"/>
        <w:pageBreakBefore w:val="0"/>
        <w:widowControl w:val="0"/>
        <w:kinsoku/>
        <w:wordWrap/>
        <w:overflowPunct/>
        <w:topLinePunct w:val="0"/>
        <w:autoSpaceDE/>
        <w:autoSpaceDN/>
        <w:bidi w:val="0"/>
        <w:adjustRightInd/>
        <w:snapToGrid/>
        <w:spacing w:after="0" w:afterLines="0"/>
        <w:ind w:firstLine="480" w:firstLineChars="200"/>
        <w:jc w:val="left"/>
        <w:textAlignment w:val="auto"/>
        <w:rPr>
          <w:rFonts w:hint="eastAsia" w:ascii="仿宋" w:hAnsi="仿宋" w:eastAsia="仿宋" w:cs="仿宋"/>
          <w:b/>
          <w:bCs/>
          <w:color w:val="auto"/>
          <w:sz w:val="44"/>
          <w:szCs w:val="44"/>
          <w:lang w:val="en-US" w:eastAsia="zh-CN"/>
        </w:rPr>
      </w:pPr>
      <w:r>
        <w:rPr>
          <w:rFonts w:hint="eastAsia" w:ascii="仿宋" w:hAnsi="仿宋" w:eastAsia="仿宋" w:cs="仿宋"/>
          <w:color w:val="auto"/>
          <w:szCs w:val="21"/>
          <w:lang w:val="en-US" w:eastAsia="zh-CN"/>
        </w:rPr>
        <w:t>综上所述，</w:t>
      </w:r>
      <w:r>
        <w:rPr>
          <w:rFonts w:hint="eastAsia" w:ascii="仿宋" w:hAnsi="仿宋" w:eastAsia="仿宋" w:cs="仿宋"/>
          <w:color w:val="auto"/>
          <w:sz w:val="24"/>
          <w:szCs w:val="24"/>
          <w:lang w:val="en-US" w:eastAsia="zh-CN"/>
        </w:rPr>
        <w:t>如皋城西片区一期西部志颐路东、如泰运河南地块</w:t>
      </w:r>
      <w:r>
        <w:rPr>
          <w:rFonts w:hint="eastAsia" w:ascii="仿宋" w:hAnsi="仿宋" w:eastAsia="仿宋" w:cs="仿宋"/>
          <w:color w:val="auto"/>
          <w:szCs w:val="21"/>
          <w:lang w:val="en-US" w:eastAsia="zh-CN"/>
        </w:rPr>
        <w:t>不属于污染地块，无需进行进一步调查，地块符合规划为居住用地</w:t>
      </w:r>
      <w:r>
        <w:rPr>
          <w:rFonts w:hint="eastAsia" w:ascii="仿宋" w:hAnsi="仿宋" w:eastAsia="仿宋" w:cs="仿宋"/>
          <w:color w:val="auto"/>
          <w:lang w:val="en-US" w:eastAsia="zh-CN"/>
        </w:rPr>
        <w:t>用途的土壤环境质量标准要求（GB36600中的第一类用地筛选值）</w:t>
      </w:r>
      <w:r>
        <w:rPr>
          <w:rFonts w:hint="eastAsia" w:ascii="仿宋" w:hAnsi="仿宋" w:eastAsia="仿宋" w:cs="仿宋"/>
          <w:color w:val="auto"/>
          <w:szCs w:val="21"/>
          <w:lang w:val="en-US" w:eastAsia="zh-CN"/>
        </w:rPr>
        <w:t>。</w:t>
      </w:r>
    </w:p>
    <w:p>
      <w:pPr>
        <w:pStyle w:val="10"/>
        <w:rPr>
          <w:rFonts w:hint="eastAsia" w:ascii="仿宋" w:hAnsi="仿宋" w:eastAsia="仿宋" w:cs="仿宋"/>
          <w:color w:val="0000FF"/>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pPr>
        <w:pStyle w:val="9"/>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18" w:name="_Toc31484"/>
      <w:bookmarkStart w:id="19" w:name="_Toc31206"/>
      <w:bookmarkStart w:id="20" w:name="_Toc26673"/>
      <w:bookmarkStart w:id="21" w:name="_Toc6995"/>
      <w:bookmarkStart w:id="22" w:name="_Toc11125"/>
      <w:r>
        <w:rPr>
          <w:rFonts w:hint="eastAsia" w:ascii="仿宋" w:hAnsi="仿宋" w:eastAsia="仿宋" w:cs="仿宋"/>
          <w:b/>
          <w:bCs w:val="0"/>
          <w:color w:val="auto"/>
          <w:sz w:val="36"/>
          <w:szCs w:val="36"/>
          <w:lang w:val="en-US" w:eastAsia="zh-CN"/>
        </w:rPr>
        <w:t>1  前言</w:t>
      </w:r>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皋城西片区一期西部志颐路东、如泰运河南地块位于南通市如皋市如城街道。调查范围东至桃源路（规划路），西至志颐路，南至广福路（规划路），北至如泰运河。本次调查地块总占地面积234亩（约156000平方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合卫星影像及人员访谈得知，根据调查情况，地块早期为农田，1990年至2022年一直是宅基地、部分生产厂房。地块内构筑物于2022年拆除，目前为开放状态，土壤有受到人为扰动的可能。调查地块周围500m范围内的敏感目标为地表水和住宅。本次调查地块和周边地块当前和历史上存在多家企业，调查地块内存在原如皋市绢纺厂，如皋市绢纺厂成立于1990年，2004年改制后成立江苏大地蓝绢纺织有限公司。后逐步将厂房租赁给多个纺织印染企业，其中涉及的重点行业企业有如皋弘森染丝线厂和如皋莱思染整有限公司。根据重点行业企业调查，风险关注度等级均为中级，且未开展过土壤和地下水检测工作，未查询到环保相关的行政处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块周边500m范围内存在三家重点行业企业，分别为如皋市万隆漂染厂、南通东韵染整有限公司、如皋市双佳助剂有限公司，风险关注度等级均为中度，其中如皋市万隆漂染厂为《关于如皋市重点行业企业用地调查高风险遗留地块（第一批）管控区域的公示（2022年3月24日）》中规定的高风险遗留地块。据调查，南通东韵染整有限公司在重点行业企业调查土壤和地下水检测中未出现超标现象，如皋市万隆漂染厂、如皋市双佳助剂有限公司未开展过土壤和地下水检测工作。其中周边企业存在的环保行政处罚情况如下：如皋市双佳助剂有限公司于2014年1月13日被如皋生态环境局（原如皋市环境保护局）作出皋环罚字（2014）2号行政处罚决定书，原因为未办理环评手续，水污染防治设施未经环保部门验收，擅自在如皋市如城镇西门外车站路18号建设甲醇、乙醇项目并投入生产。南通皋鑫电子股份有限公司于2018年4月27日被如皋生态环境局（原如皋市环境保护局）作出皋环罚字（2018）47号行政处罚决定书，原因为不正常运行污染防治设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次调查地块用地性质为住宅（宅基地）、集体用地。根据《如皋市西片区控制性详细规划（公示日期2021.12）》，本次调查地块未来规划为居住用地（R21）、道路用地、公园绿地（G1）、防护绿地（G2）、商业用地（B1），因道路、公园绿地、防护绿地、商业用地占总调查范围的比例较小，因此本次调查采用《土壤环境质量 建设用地土壤污染风险管控标准(试行)》（GB36600-2018）中的第一类用地的评价标准统一进行评价。根据《中华人民共和国土壤污染防治法》第五十九条：用途变更为住宅、公共管理与公共服务用地的，变更前应当按照规定进行土壤污染状况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color w:val="auto"/>
          <w:sz w:val="24"/>
          <w:szCs w:val="24"/>
          <w:lang w:val="en-US" w:eastAsia="zh-CN"/>
        </w:rPr>
        <w:t>因此，如皋市西片区综合开发有限公司委托江苏标普检测科技有限公司开展本地块土壤污染状况调查工作。针对如皋城西片区一期西部志颐路东、如泰运河南地块，江苏标普检测科技有限公司于2023年7月组织专业技术人员对其进行了现场踏勘，收集了地块内与地块土壤污染状况调查相关的资料，确定了调查地块的土壤和地下水监测采样点位</w:t>
      </w:r>
      <w:r>
        <w:rPr>
          <w:rFonts w:hint="eastAsia" w:ascii="仿宋" w:hAnsi="仿宋" w:eastAsia="仿宋" w:cs="仿宋"/>
          <w:color w:val="auto"/>
          <w:sz w:val="24"/>
          <w:szCs w:val="24"/>
          <w:shd w:val="clear" w:color="auto" w:fill="auto"/>
          <w:lang w:val="en-US" w:eastAsia="zh-CN"/>
        </w:rPr>
        <w:t>，并委托江苏光质检测科技有限公司于2023年</w:t>
      </w:r>
      <w:r>
        <w:rPr>
          <w:rFonts w:hint="eastAsia" w:ascii="仿宋" w:hAnsi="仿宋" w:eastAsia="仿宋" w:cs="仿宋"/>
          <w:color w:val="auto"/>
          <w:sz w:val="24"/>
          <w:szCs w:val="24"/>
          <w:highlight w:val="none"/>
          <w:shd w:val="clear" w:color="auto" w:fill="auto"/>
          <w:lang w:val="en-US" w:eastAsia="zh-CN"/>
        </w:rPr>
        <w:t>12月19日进</w:t>
      </w:r>
      <w:r>
        <w:rPr>
          <w:rFonts w:hint="eastAsia" w:ascii="仿宋" w:hAnsi="仿宋" w:eastAsia="仿宋" w:cs="仿宋"/>
          <w:color w:val="auto"/>
          <w:sz w:val="24"/>
          <w:szCs w:val="24"/>
          <w:shd w:val="clear" w:color="auto" w:fill="auto"/>
          <w:lang w:val="en-US" w:eastAsia="zh-CN"/>
        </w:rPr>
        <w:t>行地块土壤和地下水点位的现场采样，由江苏光质检测科技有限公司、</w:t>
      </w:r>
      <w:r>
        <w:rPr>
          <w:rFonts w:hint="eastAsia" w:ascii="仿宋" w:hAnsi="仿宋" w:eastAsia="仿宋" w:cs="仿宋"/>
          <w:b w:val="0"/>
          <w:bCs/>
          <w:color w:val="auto"/>
          <w:kern w:val="2"/>
          <w:sz w:val="24"/>
          <w:szCs w:val="24"/>
          <w:vertAlign w:val="baseline"/>
          <w:lang w:val="en-US" w:eastAsia="zh-CN" w:bidi="ar-SA"/>
        </w:rPr>
        <w:t>江苏弘业检测技术有限公司、江苏中之盛环境科技有限公司</w:t>
      </w:r>
      <w:r>
        <w:rPr>
          <w:rFonts w:hint="eastAsia" w:ascii="仿宋" w:hAnsi="仿宋" w:eastAsia="仿宋" w:cs="仿宋"/>
          <w:color w:val="auto"/>
          <w:sz w:val="24"/>
          <w:szCs w:val="24"/>
          <w:shd w:val="clear" w:color="auto" w:fill="auto"/>
          <w:lang w:val="en-US" w:eastAsia="zh-CN"/>
        </w:rPr>
        <w:t>出具土壤、地下水等检测报告。我公司综合分析了土壤、地下水点位监测因子种类及浓度，并在此基础上编制了</w:t>
      </w:r>
      <w:r>
        <w:rPr>
          <w:rFonts w:hint="eastAsia" w:ascii="仿宋" w:hAnsi="仿宋" w:eastAsia="仿宋" w:cs="仿宋"/>
          <w:color w:val="auto"/>
          <w:sz w:val="24"/>
          <w:szCs w:val="24"/>
          <w:lang w:val="en-US" w:eastAsia="zh-CN"/>
        </w:rPr>
        <w:t>《如皋城西片区一期西部志颐路东、如泰运河南地块土壤污染状况调查报告》。</w:t>
      </w:r>
    </w:p>
    <w:p>
      <w:pPr>
        <w:pStyle w:val="9"/>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23" w:name="_Toc4878"/>
      <w:bookmarkStart w:id="24" w:name="_Toc29121"/>
      <w:bookmarkStart w:id="25" w:name="_Toc20550"/>
      <w:bookmarkStart w:id="26" w:name="_Toc4694"/>
      <w:bookmarkStart w:id="27" w:name="_Toc25521"/>
      <w:r>
        <w:rPr>
          <w:rFonts w:hint="eastAsia" w:ascii="仿宋" w:hAnsi="仿宋" w:eastAsia="仿宋" w:cs="仿宋"/>
          <w:b/>
          <w:bCs w:val="0"/>
          <w:color w:val="auto"/>
          <w:sz w:val="36"/>
          <w:szCs w:val="36"/>
          <w:lang w:val="en-US" w:eastAsia="zh-CN"/>
        </w:rPr>
        <w:t>2  概述</w:t>
      </w:r>
      <w:bookmarkEnd w:id="23"/>
      <w:bookmarkEnd w:id="24"/>
      <w:bookmarkEnd w:id="25"/>
      <w:bookmarkEnd w:id="26"/>
      <w:bookmarkEnd w:id="27"/>
    </w:p>
    <w:p>
      <w:pPr>
        <w:pStyle w:val="4"/>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28" w:name="_Toc5700"/>
      <w:bookmarkStart w:id="29" w:name="_Toc22724"/>
      <w:bookmarkStart w:id="30" w:name="_Toc4060"/>
      <w:bookmarkStart w:id="31" w:name="_Toc24185"/>
      <w:r>
        <w:rPr>
          <w:rFonts w:hint="eastAsia" w:ascii="仿宋" w:hAnsi="仿宋" w:eastAsia="仿宋" w:cs="仿宋"/>
          <w:b/>
          <w:bCs/>
          <w:color w:val="auto"/>
          <w:sz w:val="28"/>
          <w:szCs w:val="21"/>
          <w:lang w:val="en-US" w:eastAsia="zh-CN"/>
        </w:rPr>
        <w:t>2.1  调查目的和原则</w:t>
      </w:r>
      <w:bookmarkEnd w:id="28"/>
      <w:bookmarkEnd w:id="29"/>
      <w:bookmarkEnd w:id="30"/>
      <w:bookmarkEnd w:id="31"/>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32" w:name="_Toc13960"/>
      <w:bookmarkStart w:id="33" w:name="_Toc1252"/>
      <w:r>
        <w:rPr>
          <w:rFonts w:hint="eastAsia" w:ascii="仿宋" w:hAnsi="仿宋" w:eastAsia="仿宋" w:cs="仿宋"/>
          <w:b/>
          <w:bCs w:val="0"/>
          <w:color w:val="auto"/>
          <w:sz w:val="28"/>
          <w:szCs w:val="28"/>
          <w:lang w:val="en-US" w:eastAsia="zh-CN"/>
        </w:rPr>
        <w:t>2.1.1 调查目的</w:t>
      </w:r>
      <w:bookmarkEnd w:id="32"/>
      <w:bookmarkEnd w:id="33"/>
    </w:p>
    <w:p>
      <w:pPr>
        <w:keepNext w:val="0"/>
        <w:keepLines w:val="0"/>
        <w:pageBreakBefore w:val="0"/>
        <w:widowControl/>
        <w:kinsoku/>
        <w:wordWrap/>
        <w:overflowPunct/>
        <w:topLinePunct w:val="0"/>
        <w:bidi w:val="0"/>
        <w:spacing w:line="360" w:lineRule="auto"/>
        <w:ind w:firstLine="48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根据《建设用地土壤污染状况调查技术导则》（HJ25.1-2019）、《建设用地土壤污染风险管控和修复监测技术导则（HJ25.2-2019）》、《建设用地土壤环境调查评估技术指南》等导则及相关技术性规范，开展</w:t>
      </w:r>
      <w:r>
        <w:rPr>
          <w:rFonts w:hint="eastAsia" w:ascii="仿宋" w:hAnsi="仿宋" w:eastAsia="仿宋" w:cs="仿宋"/>
          <w:color w:val="auto"/>
          <w:sz w:val="24"/>
          <w:szCs w:val="24"/>
          <w:lang w:val="en-US" w:eastAsia="zh-CN"/>
        </w:rPr>
        <w:t>如皋城西片区一期西部志颐路东、如泰运河南地块土</w:t>
      </w:r>
      <w:r>
        <w:rPr>
          <w:rFonts w:hint="eastAsia" w:ascii="仿宋" w:hAnsi="仿宋" w:eastAsia="仿宋" w:cs="仿宋"/>
          <w:color w:val="auto"/>
          <w:sz w:val="24"/>
          <w:szCs w:val="24"/>
        </w:rPr>
        <w:t>壤污染状况调查，对地块的土壤和地下水的环境</w:t>
      </w:r>
      <w:r>
        <w:rPr>
          <w:rFonts w:hint="eastAsia" w:ascii="仿宋" w:hAnsi="仿宋" w:eastAsia="仿宋" w:cs="仿宋"/>
          <w:color w:val="auto"/>
          <w:sz w:val="24"/>
          <w:szCs w:val="24"/>
          <w:lang w:val="en-US" w:eastAsia="zh-CN"/>
        </w:rPr>
        <w:t>状况</w:t>
      </w:r>
      <w:r>
        <w:rPr>
          <w:rFonts w:hint="eastAsia" w:ascii="仿宋" w:hAnsi="仿宋" w:eastAsia="仿宋" w:cs="仿宋"/>
          <w:color w:val="auto"/>
          <w:sz w:val="24"/>
          <w:szCs w:val="24"/>
        </w:rPr>
        <w:t>进行评价。通过土壤和地下水样品采集、检测分析，确定地块环境质量是否满足建设用地的环境质量要求，对后续工作提供指导建议。</w:t>
      </w:r>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default" w:ascii="仿宋" w:hAnsi="仿宋" w:eastAsia="仿宋" w:cs="仿宋"/>
          <w:b/>
          <w:bCs w:val="0"/>
          <w:color w:val="auto"/>
          <w:sz w:val="28"/>
          <w:szCs w:val="28"/>
          <w:lang w:val="en-US" w:eastAsia="zh-CN"/>
        </w:rPr>
      </w:pPr>
      <w:bookmarkStart w:id="34" w:name="_Toc28901"/>
      <w:bookmarkStart w:id="35" w:name="_Toc12226"/>
      <w:bookmarkStart w:id="36" w:name="_Toc9813"/>
      <w:bookmarkStart w:id="37" w:name="_Toc12094"/>
      <w:bookmarkStart w:id="38" w:name="_Toc19955"/>
      <w:bookmarkStart w:id="39" w:name="_Toc7532"/>
      <w:r>
        <w:rPr>
          <w:rFonts w:hint="eastAsia" w:ascii="仿宋" w:hAnsi="仿宋" w:eastAsia="仿宋" w:cs="仿宋"/>
          <w:b/>
          <w:bCs w:val="0"/>
          <w:color w:val="auto"/>
          <w:sz w:val="28"/>
          <w:szCs w:val="28"/>
          <w:lang w:val="en-US" w:eastAsia="zh-CN"/>
        </w:rPr>
        <w:t>2.1.2 调查原</w:t>
      </w:r>
      <w:bookmarkEnd w:id="34"/>
      <w:bookmarkEnd w:id="35"/>
      <w:bookmarkEnd w:id="36"/>
      <w:bookmarkEnd w:id="37"/>
      <w:bookmarkEnd w:id="38"/>
      <w:bookmarkEnd w:id="39"/>
      <w:r>
        <w:rPr>
          <w:rFonts w:hint="eastAsia" w:ascii="仿宋" w:hAnsi="仿宋" w:eastAsia="仿宋" w:cs="仿宋"/>
          <w:b/>
          <w:bCs w:val="0"/>
          <w:color w:val="auto"/>
          <w:sz w:val="28"/>
          <w:szCs w:val="28"/>
          <w:lang w:val="en-US" w:eastAsia="zh-CN"/>
        </w:rPr>
        <w:t>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（1）针对性原则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针对地块土壤和地下水污染特点，根据目标地块土壤类型及各层分布情况、地下水埋深、地下水流向、原使用情况、生产历史等对地块各个区域进行针对性调查，</w:t>
      </w:r>
      <w:r>
        <w:rPr>
          <w:rFonts w:hint="eastAsia" w:ascii="仿宋" w:hAnsi="仿宋" w:eastAsia="仿宋" w:cs="仿宋"/>
          <w:color w:val="auto"/>
        </w:rPr>
        <w:t>为地块的环境管理提供依据</w:t>
      </w:r>
      <w:r>
        <w:rPr>
          <w:rFonts w:hint="eastAsia" w:ascii="仿宋" w:hAnsi="仿宋" w:eastAsia="仿宋" w:cs="仿宋"/>
          <w:bCs/>
          <w:color w:val="auto"/>
          <w:kern w:val="0"/>
        </w:rPr>
        <w:t>。</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（2）规范性原则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严格按照国内地块调查最新的相关技术规范开展工作，从布点方案编制、现场点位采样、样品保存运输到样品分析等一系列过程的各个环节进行严格的质量控制，以确保调查过程和调查结果的科学性、准确性和客观性。</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（3）可操作性原则</w:t>
      </w:r>
    </w:p>
    <w:p>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开展调查工作时要综合考虑调查方法、调查时间、调查经费以及现场条件等客观因素，制定切实可行的实施方案，确保调查工作的顺利进行。</w:t>
      </w:r>
    </w:p>
    <w:p>
      <w:pPr>
        <w:pStyle w:val="4"/>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40" w:name="_Toc25393"/>
      <w:bookmarkStart w:id="41" w:name="_Toc68"/>
      <w:bookmarkStart w:id="42" w:name="_Toc347"/>
      <w:bookmarkStart w:id="43" w:name="_Toc23409"/>
      <w:bookmarkStart w:id="44" w:name="_Toc11616"/>
      <w:bookmarkStart w:id="45" w:name="_Toc25636"/>
      <w:bookmarkStart w:id="46" w:name="_Toc28064"/>
      <w:bookmarkStart w:id="47" w:name="_Toc6932"/>
      <w:bookmarkStart w:id="48" w:name="_Toc10198"/>
      <w:r>
        <w:rPr>
          <w:rFonts w:hint="eastAsia" w:ascii="仿宋" w:hAnsi="仿宋" w:eastAsia="仿宋" w:cs="仿宋"/>
          <w:b/>
          <w:bCs/>
          <w:color w:val="auto"/>
          <w:sz w:val="28"/>
          <w:szCs w:val="21"/>
          <w:lang w:val="en-US" w:eastAsia="zh-CN"/>
        </w:rPr>
        <w:t>2.2  调查范围</w:t>
      </w:r>
      <w:bookmarkEnd w:id="40"/>
      <w:bookmarkEnd w:id="41"/>
      <w:bookmarkEnd w:id="42"/>
      <w:bookmarkEnd w:id="43"/>
      <w:bookmarkEnd w:id="44"/>
      <w:bookmarkEnd w:id="45"/>
      <w:bookmarkEnd w:id="46"/>
      <w:bookmarkEnd w:id="47"/>
      <w:bookmarkEnd w:id="48"/>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49" w:name="_Toc10063"/>
      <w:bookmarkStart w:id="50" w:name="_Toc13604"/>
      <w:bookmarkStart w:id="51" w:name="_Toc8604"/>
      <w:bookmarkStart w:id="52" w:name="_Toc10128"/>
      <w:bookmarkStart w:id="53" w:name="_Toc30906"/>
      <w:r>
        <w:rPr>
          <w:rFonts w:hint="eastAsia" w:ascii="仿宋" w:hAnsi="仿宋" w:eastAsia="仿宋" w:cs="仿宋"/>
          <w:b w:val="0"/>
          <w:bCs w:val="0"/>
          <w:color w:val="auto"/>
          <w:sz w:val="24"/>
          <w:szCs w:val="32"/>
          <w:lang w:val="en-US" w:eastAsia="zh-CN"/>
        </w:rPr>
        <w:t>如皋城西片区一期西部志颐路东、如泰运河南地块</w:t>
      </w:r>
      <w:r>
        <w:rPr>
          <w:rFonts w:hint="default" w:ascii="仿宋" w:hAnsi="仿宋" w:eastAsia="仿宋" w:cs="仿宋"/>
          <w:b w:val="0"/>
          <w:bCs w:val="0"/>
          <w:color w:val="auto"/>
          <w:sz w:val="24"/>
          <w:szCs w:val="32"/>
          <w:lang w:val="en-US" w:eastAsia="zh-CN"/>
        </w:rPr>
        <w:t>位于</w:t>
      </w:r>
      <w:r>
        <w:rPr>
          <w:rFonts w:hint="eastAsia" w:ascii="仿宋" w:hAnsi="仿宋" w:eastAsia="仿宋" w:cs="仿宋"/>
          <w:b w:val="0"/>
          <w:bCs w:val="0"/>
          <w:color w:val="auto"/>
          <w:sz w:val="24"/>
          <w:szCs w:val="32"/>
          <w:lang w:val="en-US" w:eastAsia="zh-CN"/>
        </w:rPr>
        <w:t>南通如皋市如城街道东风社区</w:t>
      </w:r>
      <w:r>
        <w:rPr>
          <w:rFonts w:hint="default" w:ascii="仿宋" w:hAnsi="仿宋" w:eastAsia="仿宋" w:cs="仿宋"/>
          <w:b w:val="0"/>
          <w:bCs w:val="0"/>
          <w:color w:val="auto"/>
          <w:sz w:val="24"/>
          <w:szCs w:val="32"/>
          <w:lang w:val="en-US" w:eastAsia="zh-CN"/>
        </w:rPr>
        <w:t>。</w:t>
      </w:r>
      <w:r>
        <w:rPr>
          <w:rFonts w:hint="eastAsia" w:ascii="仿宋" w:hAnsi="仿宋" w:eastAsia="仿宋" w:cs="仿宋"/>
          <w:b w:val="0"/>
          <w:bCs w:val="0"/>
          <w:color w:val="auto"/>
          <w:sz w:val="24"/>
          <w:szCs w:val="32"/>
          <w:lang w:val="en-US" w:eastAsia="zh-CN"/>
        </w:rPr>
        <w:t>本次调查范围包含委托单位需开发利用的321#A和321#B两个地块（规划为居住用地）的红线范围，且为保证如皋市绢纺厂调查的完整性，本次调查范围包含如皋市绢纺厂整个厂区。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color w:val="auto"/>
          <w:lang w:val="en-US"/>
        </w:rPr>
      </w:pPr>
      <w:r>
        <w:rPr>
          <w:rFonts w:hint="eastAsia" w:ascii="仿宋" w:hAnsi="仿宋" w:eastAsia="仿宋" w:cs="仿宋"/>
          <w:b w:val="0"/>
          <w:bCs w:val="0"/>
          <w:color w:val="auto"/>
          <w:sz w:val="24"/>
          <w:szCs w:val="32"/>
          <w:lang w:val="en-US" w:eastAsia="zh-CN"/>
        </w:rPr>
        <w:t>本次调查范围见图2.2-1。</w:t>
      </w:r>
      <w:r>
        <w:rPr>
          <w:rFonts w:hint="eastAsia" w:ascii="仿宋" w:hAnsi="仿宋" w:eastAsia="仿宋" w:cs="仿宋"/>
          <w:b/>
          <w:bCs/>
          <w:color w:val="auto"/>
          <w:sz w:val="24"/>
          <w:szCs w:val="32"/>
          <w:lang w:val="en-US" w:eastAsia="zh-CN"/>
        </w:rPr>
        <w:t>红线图详见附件一。拐点坐标来源于业主提供的CAD版红线图。</w:t>
      </w:r>
      <w:r>
        <w:rPr>
          <w:rFonts w:hint="eastAsia" w:ascii="仿宋" w:hAnsi="仿宋" w:eastAsia="仿宋" w:cs="仿宋"/>
          <w:b w:val="0"/>
          <w:bCs w:val="0"/>
          <w:color w:val="auto"/>
          <w:sz w:val="24"/>
          <w:szCs w:val="32"/>
          <w:lang w:val="en-US" w:eastAsia="zh-CN"/>
        </w:rPr>
        <w:t>本次调查范围于两个地块红线关系图见图2.2-2。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eastAsia="宋体"/>
          <w:color w:val="auto"/>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3865245</wp:posOffset>
                </wp:positionH>
                <wp:positionV relativeFrom="paragraph">
                  <wp:posOffset>828675</wp:posOffset>
                </wp:positionV>
                <wp:extent cx="123190" cy="92075"/>
                <wp:effectExtent l="5080" t="4445" r="5080" b="17780"/>
                <wp:wrapNone/>
                <wp:docPr id="4" name="矩形 4"/>
                <wp:cNvGraphicFramePr/>
                <a:graphic xmlns:a="http://schemas.openxmlformats.org/drawingml/2006/main">
                  <a:graphicData uri="http://schemas.microsoft.com/office/word/2010/wordprocessingShape">
                    <wps:wsp>
                      <wps:cNvSpPr/>
                      <wps:spPr>
                        <a:xfrm>
                          <a:off x="0" y="0"/>
                          <a:ext cx="123190" cy="92075"/>
                        </a:xfrm>
                        <a:prstGeom prst="rect">
                          <a:avLst/>
                        </a:prstGeom>
                        <a:solidFill>
                          <a:srgbClr val="FFFFFF"/>
                        </a:solidFill>
                        <a:ln w="9525"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04.35pt;margin-top:65.25pt;height:7.25pt;width:9.7pt;z-index:251659264;mso-width-relative:page;mso-height-relative:page;" fillcolor="#FFFFFF" filled="t" stroked="t" coordsize="21600,21600" o:gfxdata="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8/TJT9gAAAALAQAADwAAAAAAAAABACAAAAAiAAAAZHJzL2Rvd25yZXYueG1s&#10;UEsBAhQAFAAAAAgAh07iQJt4M/f4AQAAHAQAAA4AAAAAAAAAAQAgAAAAJwEAAGRycy9lMm9Eb2Mu&#10;eG1sUEsFBgAAAAAGAAYAWQEAAJEFAAAAAA==&#10;">
                <v:path/>
                <v:fill on="t" focussize="0,0"/>
                <v:stroke color="#FF0000" joinstyle="miter"/>
                <v:imagedata o:title=""/>
                <o:lock v:ext="edit" aspectratio="f"/>
              </v:rect>
            </w:pict>
          </mc:Fallback>
        </mc:AlternateContent>
      </w:r>
      <w:r>
        <w:rPr>
          <w:color w:val="auto"/>
          <w:sz w:val="21"/>
        </w:rPr>
        <w:drawing>
          <wp:inline distT="0" distB="0" distL="114300" distR="114300">
            <wp:extent cx="5270500" cy="4039870"/>
            <wp:effectExtent l="0" t="0" r="6350" b="17780"/>
            <wp:docPr id="6" name="图片 2" descr="060a3538b165d77c47c67868f33af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060a3538b165d77c47c67868f33afa8"/>
                    <pic:cNvPicPr>
                      <a:picLocks noChangeAspect="1"/>
                    </pic:cNvPicPr>
                  </pic:nvPicPr>
                  <pic:blipFill>
                    <a:blip r:embed="rId12"/>
                    <a:stretch>
                      <a:fillRect/>
                    </a:stretch>
                  </pic:blipFill>
                  <pic:spPr>
                    <a:xfrm>
                      <a:off x="0" y="0"/>
                      <a:ext cx="5270500" cy="403987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图2.2-1  本次调查范围拐点图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both"/>
        <w:textAlignment w:val="auto"/>
        <w:outlineLvl w:val="9"/>
        <w:rPr>
          <w:rFonts w:hint="eastAsia" w:ascii="仿宋" w:hAnsi="仿宋" w:eastAsia="仿宋" w:cs="仿宋"/>
          <w:b w:val="0"/>
          <w:bCs w:val="0"/>
          <w:color w:val="auto"/>
          <w:sz w:val="24"/>
          <w:szCs w:val="32"/>
          <w:lang w:val="en-US" w:eastAsia="zh-CN"/>
        </w:rPr>
      </w:pPr>
      <w:r>
        <w:drawing>
          <wp:inline distT="0" distB="0" distL="114300" distR="114300">
            <wp:extent cx="5272405" cy="3610610"/>
            <wp:effectExtent l="0" t="0" r="4445"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3"/>
                    <a:stretch>
                      <a:fillRect/>
                    </a:stretch>
                  </pic:blipFill>
                  <pic:spPr>
                    <a:xfrm>
                      <a:off x="0" y="0"/>
                      <a:ext cx="5272405" cy="361061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0" w:firstLineChars="0"/>
        <w:jc w:val="center"/>
        <w:textAlignment w:val="auto"/>
        <w:outlineLvl w:val="9"/>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图2.2-2  本次调查范围与两地块红线图位置关系图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本报告中所有点位坐标均采用 CGCS2000 坐标系，拐点坐标如下表所示。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表2.2-1  调查范围拐点坐标</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3622"/>
        <w:gridCol w:w="3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拐点编号</w:t>
            </w:r>
          </w:p>
        </w:tc>
        <w:tc>
          <w:tcPr>
            <w:tcW w:w="2125"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仿宋" w:hAnsi="仿宋" w:eastAsia="仿宋" w:cs="仿宋"/>
                <w:b/>
                <w:color w:val="auto"/>
                <w:sz w:val="21"/>
                <w:szCs w:val="21"/>
                <w:highlight w:val="none"/>
                <w:lang w:eastAsia="zh-CN"/>
              </w:rPr>
            </w:pPr>
            <w:r>
              <w:rPr>
                <w:rFonts w:hint="eastAsia" w:ascii="仿宋" w:hAnsi="仿宋" w:eastAsia="仿宋" w:cs="仿宋"/>
                <w:b w:val="0"/>
                <w:bCs w:val="0"/>
                <w:color w:val="auto"/>
                <w:sz w:val="21"/>
                <w:szCs w:val="21"/>
                <w:lang w:val="en-US" w:eastAsia="zh-CN"/>
              </w:rPr>
              <w:t>X</w:t>
            </w:r>
          </w:p>
        </w:tc>
        <w:tc>
          <w:tcPr>
            <w:tcW w:w="1821"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仿宋" w:hAnsi="仿宋" w:eastAsia="仿宋" w:cs="仿宋"/>
                <w:b/>
                <w:color w:val="auto"/>
                <w:sz w:val="21"/>
                <w:szCs w:val="21"/>
                <w:highlight w:val="none"/>
                <w:lang w:eastAsia="zh-CN"/>
              </w:rPr>
            </w:pPr>
            <w:r>
              <w:rPr>
                <w:rFonts w:hint="eastAsia" w:ascii="仿宋" w:hAnsi="仿宋" w:eastAsia="仿宋" w:cs="仿宋"/>
                <w:b w:val="0"/>
                <w:bCs w:val="0"/>
                <w:color w:val="auto"/>
                <w:sz w:val="21"/>
                <w:szCs w:val="21"/>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40550473.567</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3585445.996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GD2</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40550556.079</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3585185.355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GD3</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40550570.051</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3585176.332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GD4</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40550717.299</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3585178.514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GD5</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40550996.625</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3585242.916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GD6</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40551003.146</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3585255.924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GD7</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40550989.666</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3585316.518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GD8</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40551048.061</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3585323.800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GD9</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40551041.973</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3585373.896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GD10</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40550978.951</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3585369.806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GD11</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40550960.188</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3585451.776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GD12</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40550907.821</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3585592.130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GD13</w:t>
            </w:r>
          </w:p>
        </w:tc>
        <w:tc>
          <w:tcPr>
            <w:tcW w:w="362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40550693.365</w:t>
            </w:r>
          </w:p>
        </w:tc>
        <w:tc>
          <w:tcPr>
            <w:tcW w:w="310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Cs/>
                <w:color w:val="auto"/>
                <w:sz w:val="21"/>
                <w:szCs w:val="21"/>
                <w:highlight w:val="none"/>
                <w:lang w:val="en-US" w:eastAsia="zh-CN"/>
              </w:rPr>
            </w:pPr>
            <w:r>
              <w:rPr>
                <w:rFonts w:hint="default" w:ascii="仿宋" w:hAnsi="仿宋" w:eastAsia="仿宋" w:cs="仿宋"/>
                <w:bCs/>
                <w:color w:val="auto"/>
                <w:sz w:val="21"/>
                <w:szCs w:val="21"/>
                <w:highlight w:val="none"/>
                <w:lang w:val="en-US" w:eastAsia="zh-CN"/>
              </w:rPr>
              <w:t>3585521.514</w:t>
            </w:r>
          </w:p>
        </w:tc>
      </w:tr>
    </w:tbl>
    <w:p>
      <w:pPr>
        <w:ind w:left="0" w:leftChars="0" w:firstLine="0" w:firstLineChars="0"/>
        <w:rPr>
          <w:rFonts w:hint="eastAsia" w:ascii="仿宋" w:hAnsi="仿宋" w:eastAsia="仿宋" w:cs="仿宋"/>
          <w:color w:val="auto"/>
          <w:lang w:val="en-US" w:eastAsia="zh-CN"/>
        </w:rPr>
      </w:pPr>
    </w:p>
    <w:p>
      <w:pPr>
        <w:ind w:left="0" w:leftChars="0" w:firstLine="0" w:firstLineChars="0"/>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keepNext w:val="0"/>
        <w:keepLines w:val="0"/>
        <w:pageBreakBefore w:val="0"/>
        <w:kinsoku/>
        <w:wordWrap/>
        <w:overflowPunct/>
        <w:topLinePunct w:val="0"/>
        <w:autoSpaceDE/>
        <w:autoSpaceDN/>
        <w:bidi w:val="0"/>
        <w:adjustRightInd/>
        <w:snapToGrid/>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54" w:name="_Toc26213"/>
      <w:bookmarkStart w:id="55" w:name="_Toc1373"/>
      <w:bookmarkStart w:id="56" w:name="_Toc27635"/>
      <w:bookmarkStart w:id="57" w:name="_Toc18176"/>
      <w:r>
        <w:rPr>
          <w:rFonts w:hint="eastAsia" w:ascii="仿宋" w:hAnsi="仿宋" w:eastAsia="仿宋" w:cs="仿宋"/>
          <w:b/>
          <w:bCs/>
          <w:color w:val="auto"/>
          <w:sz w:val="28"/>
          <w:szCs w:val="21"/>
          <w:lang w:val="en-US" w:eastAsia="zh-CN"/>
        </w:rPr>
        <w:t>2.3  调查依据</w:t>
      </w:r>
      <w:bookmarkEnd w:id="49"/>
      <w:bookmarkEnd w:id="50"/>
      <w:bookmarkEnd w:id="51"/>
      <w:bookmarkEnd w:id="52"/>
      <w:bookmarkEnd w:id="53"/>
      <w:bookmarkEnd w:id="54"/>
      <w:bookmarkEnd w:id="55"/>
      <w:bookmarkEnd w:id="56"/>
      <w:bookmarkEnd w:id="57"/>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58" w:name="_Toc4146"/>
      <w:bookmarkStart w:id="59" w:name="_Toc6818"/>
      <w:bookmarkStart w:id="60" w:name="_Toc27812"/>
      <w:bookmarkStart w:id="61" w:name="_Toc1530"/>
      <w:bookmarkStart w:id="62" w:name="_Toc13539"/>
      <w:bookmarkStart w:id="63" w:name="_Toc5220"/>
      <w:bookmarkStart w:id="64" w:name="_Toc29488"/>
      <w:r>
        <w:rPr>
          <w:rFonts w:hint="eastAsia" w:ascii="仿宋" w:hAnsi="仿宋" w:eastAsia="仿宋" w:cs="仿宋"/>
          <w:b/>
          <w:bCs w:val="0"/>
          <w:color w:val="auto"/>
          <w:sz w:val="28"/>
          <w:szCs w:val="28"/>
          <w:lang w:val="en-US" w:eastAsia="zh-CN"/>
        </w:rPr>
        <w:t>2.3.1 国家有关法律法规</w:t>
      </w:r>
      <w:bookmarkEnd w:id="58"/>
      <w:bookmarkEnd w:id="59"/>
      <w:bookmarkEnd w:id="60"/>
      <w:bookmarkEnd w:id="61"/>
      <w:bookmarkEnd w:id="62"/>
      <w:r>
        <w:rPr>
          <w:rFonts w:hint="eastAsia" w:ascii="仿宋" w:hAnsi="仿宋" w:eastAsia="仿宋" w:cs="仿宋"/>
          <w:b/>
          <w:bCs w:val="0"/>
          <w:color w:val="auto"/>
          <w:sz w:val="28"/>
          <w:szCs w:val="28"/>
          <w:lang w:val="en-US" w:eastAsia="zh-CN"/>
        </w:rPr>
        <w:t>及规范性文件</w:t>
      </w:r>
      <w:bookmarkEnd w:id="63"/>
      <w:bookmarkEnd w:id="64"/>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65" w:name="_Toc1558"/>
      <w:bookmarkStart w:id="66" w:name="_Toc5106"/>
      <w:bookmarkStart w:id="67" w:name="_Toc376"/>
      <w:bookmarkStart w:id="68" w:name="_Toc4600"/>
      <w:bookmarkStart w:id="69" w:name="_Toc26492"/>
      <w:r>
        <w:rPr>
          <w:rFonts w:hint="eastAsia" w:ascii="仿宋" w:hAnsi="仿宋" w:eastAsia="仿宋" w:cs="仿宋"/>
          <w:b w:val="0"/>
          <w:bCs w:val="0"/>
          <w:color w:val="auto"/>
          <w:sz w:val="24"/>
          <w:szCs w:val="32"/>
          <w:lang w:val="en-US" w:eastAsia="zh-CN"/>
        </w:rPr>
        <w:t>(1)《中华人民共和国环境保护法》（2014年4月24日，2015年1月1日起施行）；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(2)《中华人民共和国土壤污染防治法》（2018年8月31日第十三届全国人民代表大会常务委员会第五次会议通过）；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(3)《中华人民共和国固体废物污染环境防治法》（2020年9月1日施行）；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(4)《土壤污染防治行动计划》（国发〔2016〕31号）；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(5)《关于保障工业企业场地开发利用环境安全的通知》（环发 〔2012〕140号）；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(6)《国务院关于印发土壤污染防治行动计划的通知》（国发 [2016]31号）；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(7)《污染地块土壤环境管理办法（试行）》（环境保护部令第42 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(8)《关于贯彻落实土壤污染防治法推动解决突出土壤污染问题的 实施意见》（环办土壤〔2019〕47号）；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(9)《关于印发地下水污染防治实施方案的通知》（环土壤〔2019〕 25号）；</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color w:val="auto"/>
        </w:rPr>
      </w:pPr>
      <w:r>
        <w:rPr>
          <w:rFonts w:hint="eastAsia" w:ascii="仿宋" w:hAnsi="仿宋" w:eastAsia="仿宋" w:cs="仿宋"/>
          <w:b w:val="0"/>
          <w:bCs w:val="0"/>
          <w:color w:val="auto"/>
          <w:sz w:val="24"/>
          <w:szCs w:val="32"/>
          <w:lang w:val="en-US" w:eastAsia="zh-CN"/>
        </w:rPr>
        <w:t>(10)关于发布《建设用地土壤污染状况初步调查监督检查工作指南（试行）》《建设用地土壤污染状况调查质量控制技术规定（试行）》的公告（公告 2022年 第17号）。</w:t>
      </w:r>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0" w:name="_Toc6237"/>
      <w:bookmarkStart w:id="71" w:name="_Toc22223"/>
      <w:r>
        <w:rPr>
          <w:rFonts w:hint="eastAsia" w:ascii="仿宋" w:hAnsi="仿宋" w:eastAsia="仿宋" w:cs="仿宋"/>
          <w:b/>
          <w:bCs w:val="0"/>
          <w:color w:val="auto"/>
          <w:sz w:val="28"/>
          <w:szCs w:val="28"/>
          <w:lang w:val="en-US" w:eastAsia="zh-CN"/>
        </w:rPr>
        <w:t>2.3.2 地方有关法规、规章及规范性文件</w:t>
      </w:r>
      <w:bookmarkEnd w:id="70"/>
      <w:bookmarkEnd w:id="7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2" w:name="_Toc6233"/>
      <w:bookmarkStart w:id="73" w:name="_Toc8637"/>
      <w:r>
        <w:rPr>
          <w:rFonts w:hint="eastAsia" w:ascii="仿宋" w:hAnsi="仿宋" w:eastAsia="仿宋" w:cs="仿宋"/>
          <w:b w:val="0"/>
          <w:bCs w:val="0"/>
          <w:color w:val="auto"/>
          <w:sz w:val="24"/>
          <w:szCs w:val="32"/>
          <w:lang w:val="en-US" w:eastAsia="zh-CN"/>
        </w:rPr>
        <w:t>(1)《中共江苏省委江苏省人民政府关于加强生态环境保护和建设 的意见》（苏发〔2003〕7号）；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(2)《江苏省固体废物污染环境防治条例》（公告第29号）；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(3)《关于加强我省工业企业场地再开发利用环境安全管理工作的 通知》（苏环办〔2013〕157号文）；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(4)《江苏省政府关于印发江苏省土壤污染防治工作方案的通知》 （苏政发〔2016〕169 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(5)《江苏省土壤污染防治条例》（2022年3月31日江苏省第十三 届人民代表大会常务委员会第二十九次会议通过）；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(6)《南通市土壤污染防治工作方案》（通政发〔2017〕20号）；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(7)《南通市生态环境局关于加强污染地块环境监管的通知》（通土环〔2019〕4号）；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(8)关于印发《南通市建设用地土壤污染状况调查报告评审工作指南（2023 年修订）》（〔2023〕10号）。</w:t>
      </w:r>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2.3.3 技术导则、相关标准及规范</w:t>
      </w:r>
      <w:bookmarkEnd w:id="65"/>
      <w:bookmarkEnd w:id="66"/>
      <w:bookmarkEnd w:id="67"/>
      <w:bookmarkEnd w:id="68"/>
      <w:bookmarkEnd w:id="69"/>
      <w:bookmarkEnd w:id="72"/>
      <w:bookmarkEnd w:id="7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4" w:name="_Toc25779"/>
      <w:r>
        <w:rPr>
          <w:rFonts w:hint="eastAsia" w:ascii="仿宋" w:hAnsi="仿宋" w:eastAsia="仿宋" w:cs="仿宋"/>
          <w:b w:val="0"/>
          <w:bCs w:val="0"/>
          <w:color w:val="auto"/>
          <w:sz w:val="24"/>
          <w:szCs w:val="32"/>
          <w:lang w:val="en-US" w:eastAsia="zh-CN"/>
        </w:rPr>
        <w:t>(1)《建设用地土壤污染风险管控和修复术语》（HJ682-2019）；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(2)《建设用地土壤污染状况调查技术导则》（HJ25.1-2019）；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(3)《建设用地土壤污染风险管控和修复监测技术导则》（HJ25.2-2019）；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(4)《建设用地土壤污染风险评估技术导则》（HJ25.3-2019）；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(5)《污染地块风险管控与土壤修复效果评估技术导则（试行）》（HJ25.5-2018）;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(6)《复合污染工业地块调查技术指南（DB32/T 4424-2022）；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(7)《地下水环境状况调查评价工作指南》（环办土壤函〔2019〕770号）；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(8)《地下水污染模拟预测评估工作指南》（试行）（环办土壤函〔2019〕770号）；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(9)《地下水污染健康风险评估工作指南》（环办土壤函〔2019〕770号）；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(10)《地下水污染防治分区划分工作指南》（环办土壤函〔2019〕770号）；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(11)《建设用地土壤环境调查评估技术指南》（公告 2017年 第72 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(12)《工业企业场地环境调查评估与修复工作指南（试行）》（公告 2014年 第78号）；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(13)《土壤环境监测技术规范》（HJ/T166-2004）；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(14)《地下水环境监测技术规范》（HJ 164-2020）；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(15)《地表水环境质量监测技术规范》（HJ91.2-2022）；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(16)《水质样品的保存和管理技术规定》（HJ 493—2009）；</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(17)《地块土壤和地下水中挥发性有机物采样技术导则》（HJ1019-2019）。</w:t>
      </w:r>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5" w:name="_Toc4940"/>
      <w:bookmarkStart w:id="76" w:name="_Toc10326"/>
      <w:r>
        <w:rPr>
          <w:rFonts w:hint="eastAsia" w:ascii="仿宋" w:hAnsi="仿宋" w:eastAsia="仿宋" w:cs="仿宋"/>
          <w:b/>
          <w:bCs w:val="0"/>
          <w:color w:val="auto"/>
          <w:sz w:val="28"/>
          <w:szCs w:val="28"/>
          <w:lang w:val="en-US" w:eastAsia="zh-CN"/>
        </w:rPr>
        <w:t>2.3.4 评价标准</w:t>
      </w:r>
      <w:bookmarkEnd w:id="74"/>
      <w:bookmarkEnd w:id="75"/>
      <w:bookmarkEnd w:id="7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（1）《土壤环境质量 建设用地土壤污染风险管控标准（试行）》（GB 36600-2018）；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（2）《地下水质量标准》（GB/T 14848-2017）；</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（3）上海市生态环境局关于印发《上海市建设用地土壤污染状况调查、风险评估、风险管控与修复方案编制、风险管控与修复效果评估工作的补充规定（试 行）》的通知（沪环土〔2020〕62号）；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（4）深圳市《建设用地土壤污染风险筛选值和管制值（DB4403/T 67—2020）》；</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（5）河北省《建设用地土壤污染风险筛选值》(DB13_T5216-2020）；</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（6）黑龙江省《土壤污染防治风险筛选指导值（试行）》（DB23/T3314-2022）；</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（7）江苏省《建设用地土壤污染风险筛选值（DB32/T 4712-2024）》；</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（8）《污染场地风险评估电子表格》；</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left"/>
        <w:textAlignment w:val="auto"/>
        <w:rPr>
          <w:rFonts w:hint="eastAsia" w:ascii="仿宋" w:hAnsi="仿宋" w:eastAsia="仿宋" w:cs="仿宋"/>
          <w:b w:val="0"/>
          <w:bCs w:val="0"/>
          <w:color w:val="auto"/>
          <w:sz w:val="24"/>
          <w:szCs w:val="32"/>
          <w:lang w:val="en-US" w:eastAsia="zh-CN"/>
        </w:rPr>
      </w:pPr>
      <w:bookmarkStart w:id="77" w:name="_Toc10113"/>
      <w:bookmarkStart w:id="78" w:name="_Toc16002"/>
      <w:bookmarkStart w:id="79" w:name="_Toc5490"/>
      <w:bookmarkStart w:id="80" w:name="_Toc17550"/>
      <w:bookmarkStart w:id="81" w:name="_Toc10397"/>
      <w:bookmarkStart w:id="82" w:name="_Toc9530"/>
      <w:bookmarkStart w:id="83" w:name="_Toc5069"/>
      <w:r>
        <w:rPr>
          <w:rFonts w:hint="eastAsia" w:ascii="仿宋" w:hAnsi="仿宋" w:eastAsia="仿宋" w:cs="仿宋"/>
          <w:b w:val="0"/>
          <w:bCs w:val="0"/>
          <w:color w:val="auto"/>
          <w:sz w:val="24"/>
          <w:szCs w:val="32"/>
          <w:lang w:val="en-US" w:eastAsia="zh-CN"/>
        </w:rPr>
        <w:t>（9）《地表水环境质量标准》（GB3838-2002）。</w:t>
      </w:r>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2.3.5 其他资料</w:t>
      </w:r>
      <w:bookmarkEnd w:id="77"/>
      <w:bookmarkEnd w:id="78"/>
      <w:bookmarkEnd w:id="79"/>
      <w:bookmarkEnd w:id="80"/>
      <w:bookmarkEnd w:id="81"/>
      <w:bookmarkEnd w:id="82"/>
      <w:bookmarkEnd w:id="83"/>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（1）如皋城西片区一期西部志颐路东、如泰运河南地块红线图（如皋市行政审批局  2023年9月）；</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（2）</w:t>
      </w:r>
      <w:r>
        <w:rPr>
          <w:rFonts w:hint="eastAsia" w:ascii="仿宋" w:hAnsi="仿宋" w:eastAsia="仿宋" w:cs="仿宋"/>
          <w:color w:val="auto"/>
          <w:kern w:val="0"/>
          <w:sz w:val="24"/>
          <w:szCs w:val="24"/>
          <w:lang w:val="en-US" w:eastAsia="zh-CN" w:bidi="ar"/>
        </w:rPr>
        <w:t>《开发GJ2021-273#51商业楼项目岩土工程勘察报告</w:t>
      </w:r>
      <w:r>
        <w:rPr>
          <w:rFonts w:hint="eastAsia" w:ascii="仿宋" w:hAnsi="仿宋" w:eastAsia="仿宋" w:cs="仿宋"/>
          <w:color w:val="auto"/>
          <w:sz w:val="24"/>
          <w:szCs w:val="24"/>
          <w:lang w:val="en-US" w:eastAsia="zh-CN"/>
        </w:rPr>
        <w:t>（勘察编号：2022R002）</w:t>
      </w:r>
      <w:r>
        <w:rPr>
          <w:rFonts w:hint="eastAsia" w:ascii="仿宋" w:hAnsi="仿宋" w:eastAsia="仿宋" w:cs="仿宋"/>
          <w:color w:val="auto"/>
          <w:kern w:val="0"/>
          <w:sz w:val="24"/>
          <w:szCs w:val="24"/>
          <w:lang w:val="en-US" w:eastAsia="zh-CN" w:bidi="ar"/>
        </w:rPr>
        <w:t>》</w:t>
      </w:r>
      <w:r>
        <w:rPr>
          <w:rFonts w:hint="eastAsia" w:ascii="仿宋" w:hAnsi="仿宋" w:eastAsia="仿宋" w:cs="仿宋"/>
          <w:color w:va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（3）周边企业环评资料及重点行业信息采集报告资料等。</w:t>
      </w:r>
    </w:p>
    <w:p>
      <w:pPr>
        <w:pStyle w:val="10"/>
        <w:keepNext w:val="0"/>
        <w:keepLines w:val="0"/>
        <w:pageBreakBefore w:val="0"/>
        <w:widowControl w:val="0"/>
        <w:kinsoku/>
        <w:wordWrap/>
        <w:overflowPunct/>
        <w:topLinePunct w:val="0"/>
        <w:autoSpaceDE/>
        <w:autoSpaceDN/>
        <w:bidi w:val="0"/>
        <w:adjustRightInd/>
        <w:snapToGrid/>
        <w:spacing w:after="0" w:afterLines="0"/>
        <w:ind w:left="0" w:firstLine="480" w:firstLineChars="200"/>
        <w:textAlignment w:val="auto"/>
        <w:rPr>
          <w:rFonts w:hint="eastAsia" w:ascii="仿宋" w:hAnsi="仿宋" w:eastAsia="仿宋" w:cs="仿宋"/>
          <w:color w:val="auto"/>
          <w:sz w:val="24"/>
          <w:szCs w:val="1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84" w:name="_Toc31012"/>
      <w:bookmarkStart w:id="85" w:name="_Toc7083"/>
      <w:bookmarkStart w:id="86" w:name="_Toc8181"/>
      <w:bookmarkStart w:id="87" w:name="_Toc16225"/>
      <w:bookmarkStart w:id="88" w:name="_Toc15596"/>
      <w:bookmarkStart w:id="89" w:name="_Toc19182"/>
      <w:r>
        <w:rPr>
          <w:rFonts w:hint="eastAsia" w:ascii="仿宋" w:hAnsi="仿宋" w:eastAsia="仿宋" w:cs="仿宋"/>
          <w:b/>
          <w:bCs w:val="0"/>
          <w:color w:val="auto"/>
          <w:sz w:val="28"/>
          <w:szCs w:val="28"/>
          <w:lang w:val="en-US" w:eastAsia="zh-CN"/>
        </w:rPr>
        <w:t xml:space="preserve">2.4  </w:t>
      </w:r>
      <w:bookmarkEnd w:id="84"/>
      <w:bookmarkEnd w:id="85"/>
      <w:r>
        <w:rPr>
          <w:rFonts w:hint="eastAsia" w:ascii="仿宋" w:hAnsi="仿宋" w:eastAsia="仿宋" w:cs="仿宋"/>
          <w:b/>
          <w:bCs w:val="0"/>
          <w:color w:val="auto"/>
          <w:sz w:val="28"/>
          <w:szCs w:val="28"/>
          <w:lang w:val="en-US" w:eastAsia="zh-CN"/>
        </w:rPr>
        <w:t>调查方法</w:t>
      </w:r>
      <w:bookmarkEnd w:id="86"/>
      <w:bookmarkEnd w:id="87"/>
      <w:bookmarkEnd w:id="88"/>
      <w:bookmarkEnd w:id="89"/>
    </w:p>
    <w:p>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土壤污染状况调查工作主要依据《建设用地土壤污染状况调查技术导则》（HJ 25.1-2019）中的工作程序，其调查的工作程序如下图所示，其中红线标识为本次调查的主要内容：</w:t>
      </w:r>
    </w:p>
    <w:p>
      <w:pPr>
        <w:pStyle w:val="4"/>
        <w:keepNext w:val="0"/>
        <w:keepLines w:val="0"/>
        <w:pageBreakBefore w:val="0"/>
        <w:widowControl w:val="0"/>
        <w:kinsoku/>
        <w:wordWrap/>
        <w:overflowPunct/>
        <w:topLinePunct w:val="0"/>
        <w:autoSpaceDE/>
        <w:autoSpaceDN/>
        <w:bidi w:val="0"/>
        <w:adjustRightInd/>
        <w:snapToGrid/>
        <w:spacing w:after="0"/>
        <w:ind w:firstLine="0" w:firstLineChars="0"/>
        <w:jc w:val="both"/>
        <w:textAlignment w:val="auto"/>
        <w:rPr>
          <w:rFonts w:hint="eastAsia" w:ascii="仿宋" w:hAnsi="仿宋" w:eastAsia="仿宋" w:cs="仿宋"/>
          <w:b/>
          <w:bCs/>
          <w:color w:val="auto"/>
          <w:lang w:val="en-US" w:eastAsia="zh-CN"/>
        </w:rPr>
      </w:pPr>
      <w:r>
        <w:rPr>
          <w:rFonts w:hint="eastAsia" w:ascii="仿宋" w:hAnsi="仿宋" w:eastAsia="仿宋" w:cs="仿宋"/>
          <w:color w:val="auto"/>
        </w:rPr>
        <w:object>
          <v:shape id="_x0000_i1028" o:spt="75" type="#_x0000_t75" style="height:537.3pt;width:409pt;" o:ole="t" filled="f" o:preferrelative="t" stroked="f" coordsize="21600,21600">
            <v:path/>
            <v:fill on="f" focussize="0,0"/>
            <v:stroke on="f"/>
            <v:imagedata r:id="rId15" o:title=""/>
            <o:lock v:ext="edit" aspectratio="f"/>
            <w10:wrap type="none"/>
            <w10:anchorlock/>
          </v:shape>
          <o:OLEObject Type="Embed" ProgID="Visio.Drawing.11" ShapeID="_x0000_i1028" DrawAspect="Content" ObjectID="_1468075725" r:id="rId14">
            <o:LockedField>false</o:LockedField>
          </o:OLEObject>
        </w:object>
      </w:r>
      <w:r>
        <w:rPr>
          <w:rFonts w:hint="eastAsia" w:ascii="仿宋" w:hAnsi="仿宋" w:eastAsia="仿宋" w:cs="仿宋"/>
          <w:b/>
          <w:bCs/>
          <w:color w:val="auto"/>
          <w:lang w:val="en-US" w:eastAsia="zh-CN"/>
        </w:rPr>
        <w:t>图2.4-1土壤污染状况调查的工作内容与程序(红线范围为本次调查内容）</w:t>
      </w:r>
    </w:p>
    <w:p>
      <w:pPr>
        <w:bidi w:val="0"/>
        <w:rPr>
          <w:rFonts w:hint="eastAsia" w:ascii="仿宋" w:hAnsi="仿宋" w:eastAsia="仿宋" w:cs="仿宋"/>
          <w:color w:val="auto"/>
          <w:lang w:val="en-US" w:eastAsia="zh-CN"/>
        </w:rPr>
      </w:pPr>
      <w:bookmarkStart w:id="90" w:name="_Toc31636"/>
      <w:bookmarkStart w:id="91" w:name="_Toc12438"/>
      <w:bookmarkStart w:id="92" w:name="_Toc8608"/>
      <w:bookmarkStart w:id="93" w:name="_Toc30146"/>
      <w:bookmarkStart w:id="94" w:name="_Toc14930"/>
      <w:bookmarkStart w:id="95" w:name="_Toc30142"/>
      <w:bookmarkStart w:id="96" w:name="_Toc2420"/>
      <w:bookmarkStart w:id="97" w:name="_Toc4536"/>
      <w:bookmarkStart w:id="98" w:name="_Toc29209"/>
      <w:bookmarkStart w:id="99" w:name="_Toc17615"/>
      <w:r>
        <w:rPr>
          <w:rFonts w:hint="eastAsia" w:ascii="仿宋" w:hAnsi="仿宋" w:eastAsia="仿宋" w:cs="仿宋"/>
          <w:color w:val="auto"/>
        </w:rPr>
        <w:t>（1）资料收集与分析</w:t>
      </w:r>
      <w:bookmarkEnd w:id="90"/>
      <w:bookmarkEnd w:id="91"/>
      <w:bookmarkEnd w:id="92"/>
      <w:bookmarkEnd w:id="93"/>
      <w:bookmarkEnd w:id="94"/>
      <w:bookmarkEnd w:id="95"/>
      <w:bookmarkEnd w:id="96"/>
      <w:bookmarkEnd w:id="97"/>
      <w:bookmarkEnd w:id="98"/>
      <w:bookmarkEnd w:id="9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w:t>
      </w:r>
      <w:r>
        <w:rPr>
          <w:rFonts w:hint="eastAsia" w:ascii="仿宋" w:hAnsi="仿宋" w:eastAsia="仿宋" w:cs="仿宋"/>
          <w:color w:val="auto"/>
          <w:lang w:val="en-US" w:eastAsia="zh-CN"/>
        </w:rPr>
        <w:t>走访企业</w:t>
      </w:r>
      <w:r>
        <w:rPr>
          <w:rFonts w:hint="eastAsia" w:ascii="仿宋" w:hAnsi="仿宋" w:eastAsia="仿宋" w:cs="仿宋"/>
          <w:color w:val="auto"/>
        </w:rPr>
        <w:t>收集地块相关的资料，了解地块历史和生产工艺，判断地块潜在污染区域，指导现场采样。资料的收集主要包括：地块利用变迁资料、地块环境资料、地块相关记录、有关政府文件、以及地块所在区域的自然和社会信息。</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利用变迁资料包括：用来辨识地块及其相邻地块的开发及活动状况的航片或卫星图片，地块的土地使用和规划资料，其它有助于评价地块污染的历史资料，如土地登记信息资料等。地块利用变迁过程中的地块内建筑、设施、工艺流程和生产污染等的变化情况。</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地块环境资料包括：地块土壤及地下水污染记录、地块危险废物堆放记录以及地块与自然保护区和水源地保护区等的位置关系等。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相关记录包括：产品、原辅材料及中间体清单、平面布置图、工艺流程图、地下管线图、化学品储存及使用清单、泄漏记录、废物管理记录、地上及地下储罐清单、环境监测数据、环境影响报告书或表、环境审计报告和地勘报告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由政府机关和权威机构所保存和发布的环境资料，如区域环境保护规划、环境质量公告、企业在政府部门相关环境备案和批复以及生态和水源保护区规划等。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所在区域的自然和社会信息包括：自然信息包括地理位置图、地形、地貌、土壤、水文、地质和气象资料等；社会信息包括人口密度和分布，敏感目标分布，及土地利用方式，区域所在地的经济现状和发展规划，相关的国家和地方的政策、法规与标准，以及当地地方性疾病统计信息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资料分析：调查人员根据专业知识和经验识别资料中的错误和不合理的信息，资料缺失影响判断地块污染状况</w:t>
      </w:r>
      <w:r>
        <w:rPr>
          <w:rFonts w:hint="eastAsia" w:ascii="仿宋" w:hAnsi="仿宋" w:eastAsia="仿宋" w:cs="仿宋"/>
          <w:color w:val="auto"/>
          <w:lang w:val="en-US" w:eastAsia="zh-CN"/>
        </w:rPr>
        <w:t>的情况</w:t>
      </w:r>
      <w:r>
        <w:rPr>
          <w:rFonts w:hint="eastAsia" w:ascii="仿宋" w:hAnsi="仿宋" w:eastAsia="仿宋" w:cs="仿宋"/>
          <w:color w:val="auto"/>
        </w:rPr>
        <w:t>，</w:t>
      </w:r>
      <w:r>
        <w:rPr>
          <w:rFonts w:hint="eastAsia" w:ascii="仿宋" w:hAnsi="仿宋" w:eastAsia="仿宋" w:cs="仿宋"/>
          <w:color w:val="auto"/>
          <w:lang w:val="en-US" w:eastAsia="zh-CN"/>
        </w:rPr>
        <w:t>均</w:t>
      </w:r>
      <w:r>
        <w:rPr>
          <w:rFonts w:hint="eastAsia" w:ascii="仿宋" w:hAnsi="仿宋" w:eastAsia="仿宋" w:cs="仿宋"/>
          <w:color w:val="auto"/>
        </w:rPr>
        <w:t>在报告中说明。</w:t>
      </w:r>
    </w:p>
    <w:p>
      <w:pPr>
        <w:bidi w:val="0"/>
        <w:rPr>
          <w:rFonts w:hint="eastAsia" w:ascii="仿宋" w:hAnsi="仿宋" w:eastAsia="仿宋" w:cs="仿宋"/>
          <w:color w:val="auto"/>
        </w:rPr>
      </w:pPr>
      <w:bookmarkStart w:id="100" w:name="_Toc31517"/>
      <w:bookmarkStart w:id="101" w:name="_Toc16367"/>
      <w:bookmarkStart w:id="102" w:name="_Toc24237"/>
      <w:bookmarkStart w:id="103" w:name="_Toc8536"/>
      <w:bookmarkStart w:id="104" w:name="_Toc19996"/>
      <w:bookmarkStart w:id="105" w:name="_Toc19569"/>
      <w:bookmarkStart w:id="106" w:name="_Toc19405"/>
      <w:bookmarkStart w:id="107" w:name="_Toc6556"/>
      <w:bookmarkStart w:id="108" w:name="_Toc13680"/>
      <w:bookmarkStart w:id="109" w:name="_Toc2378"/>
      <w:r>
        <w:rPr>
          <w:rFonts w:hint="eastAsia" w:ascii="仿宋" w:hAnsi="仿宋" w:eastAsia="仿宋" w:cs="仿宋"/>
          <w:color w:val="auto"/>
        </w:rPr>
        <w:t>（2）现场踏勘</w:t>
      </w:r>
      <w:bookmarkEnd w:id="100"/>
      <w:bookmarkEnd w:id="101"/>
      <w:bookmarkEnd w:id="102"/>
      <w:bookmarkEnd w:id="103"/>
      <w:bookmarkEnd w:id="104"/>
      <w:bookmarkEnd w:id="105"/>
      <w:bookmarkEnd w:id="106"/>
      <w:bookmarkEnd w:id="107"/>
      <w:bookmarkEnd w:id="108"/>
      <w:bookmarkEnd w:id="10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现场踏勘</w:t>
      </w:r>
      <w:r>
        <w:rPr>
          <w:rFonts w:hint="eastAsia" w:ascii="仿宋" w:hAnsi="仿宋" w:eastAsia="仿宋" w:cs="仿宋"/>
          <w:color w:val="auto"/>
          <w:lang w:val="en-US" w:eastAsia="zh-CN"/>
        </w:rPr>
        <w:t>均</w:t>
      </w:r>
      <w:r>
        <w:rPr>
          <w:rFonts w:hint="eastAsia" w:ascii="仿宋" w:hAnsi="仿宋" w:eastAsia="仿宋" w:cs="仿宋"/>
          <w:color w:val="auto"/>
        </w:rPr>
        <w:t>做</w:t>
      </w:r>
      <w:r>
        <w:rPr>
          <w:rFonts w:hint="eastAsia" w:ascii="仿宋" w:hAnsi="仿宋" w:eastAsia="仿宋" w:cs="仿宋"/>
          <w:color w:val="auto"/>
          <w:lang w:val="en-US" w:eastAsia="zh-CN"/>
        </w:rPr>
        <w:t>了</w:t>
      </w:r>
      <w:r>
        <w:rPr>
          <w:rFonts w:hint="eastAsia" w:ascii="仿宋" w:hAnsi="仿宋" w:eastAsia="仿宋" w:cs="仿宋"/>
          <w:color w:val="auto"/>
        </w:rPr>
        <w:t>相应的安全防护，踏勘范围以地块内为主，了解地块的现状与历史情况，相邻地块的现状与历史情况，周围区域的现状与历史情况，区域的地质、水文地质和地形的描述等，分析潜在的污染区域范围。</w:t>
      </w:r>
    </w:p>
    <w:p>
      <w:pPr>
        <w:bidi w:val="0"/>
        <w:rPr>
          <w:rFonts w:hint="eastAsia" w:ascii="仿宋" w:hAnsi="仿宋" w:eastAsia="仿宋" w:cs="仿宋"/>
          <w:color w:val="auto"/>
        </w:rPr>
      </w:pPr>
      <w:bookmarkStart w:id="110" w:name="_Toc11773"/>
      <w:bookmarkStart w:id="111" w:name="_Toc12726"/>
      <w:bookmarkStart w:id="112" w:name="_Toc250"/>
      <w:bookmarkStart w:id="113" w:name="_Toc8192"/>
      <w:bookmarkStart w:id="114" w:name="_Toc18865"/>
      <w:bookmarkStart w:id="115" w:name="_Toc27259"/>
      <w:bookmarkStart w:id="116" w:name="_Toc25985"/>
      <w:bookmarkStart w:id="117" w:name="_Toc26083"/>
      <w:bookmarkStart w:id="118" w:name="_Toc8428"/>
      <w:bookmarkStart w:id="119" w:name="_Toc12249"/>
      <w:r>
        <w:rPr>
          <w:rFonts w:hint="eastAsia" w:ascii="仿宋" w:hAnsi="仿宋" w:eastAsia="仿宋" w:cs="仿宋"/>
          <w:color w:val="auto"/>
        </w:rPr>
        <w:t>（3）人员访谈</w:t>
      </w:r>
      <w:bookmarkEnd w:id="110"/>
      <w:bookmarkEnd w:id="111"/>
      <w:bookmarkEnd w:id="112"/>
      <w:bookmarkEnd w:id="113"/>
      <w:bookmarkEnd w:id="114"/>
      <w:bookmarkEnd w:id="115"/>
      <w:bookmarkEnd w:id="116"/>
      <w:bookmarkEnd w:id="117"/>
      <w:bookmarkEnd w:id="118"/>
      <w:bookmarkEnd w:id="11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通过对</w:t>
      </w:r>
      <w:r>
        <w:rPr>
          <w:rFonts w:hint="eastAsia" w:ascii="仿宋" w:hAnsi="仿宋" w:eastAsia="仿宋" w:cs="仿宋"/>
          <w:color w:val="auto"/>
          <w:lang w:val="en-US" w:eastAsia="zh-CN"/>
        </w:rPr>
        <w:t>熟悉</w:t>
      </w:r>
      <w:r>
        <w:rPr>
          <w:rFonts w:hint="eastAsia" w:ascii="仿宋" w:hAnsi="仿宋" w:eastAsia="仿宋" w:cs="仿宋"/>
          <w:color w:val="auto"/>
        </w:rPr>
        <w:t>地块现状和历史的知情人进行访谈，对资料收集和现场踏勘所涉及的疑问，</w:t>
      </w:r>
      <w:r>
        <w:rPr>
          <w:rFonts w:hint="eastAsia" w:ascii="仿宋" w:hAnsi="仿宋" w:eastAsia="仿宋" w:cs="仿宋"/>
          <w:color w:val="auto"/>
          <w:lang w:val="en-US" w:eastAsia="zh-CN"/>
        </w:rPr>
        <w:t>进行</w:t>
      </w:r>
      <w:r>
        <w:rPr>
          <w:rFonts w:hint="eastAsia" w:ascii="仿宋" w:hAnsi="仿宋" w:eastAsia="仿宋" w:cs="仿宋"/>
          <w:color w:val="auto"/>
        </w:rPr>
        <w:t>信息补充和考证已有资料。</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本阶段调查结论</w:t>
      </w:r>
      <w:r>
        <w:rPr>
          <w:rFonts w:hint="eastAsia" w:ascii="仿宋" w:hAnsi="仿宋" w:eastAsia="仿宋" w:cs="仿宋"/>
          <w:color w:val="auto"/>
          <w:lang w:val="en-US" w:eastAsia="zh-CN"/>
        </w:rPr>
        <w:t>中</w:t>
      </w:r>
      <w:r>
        <w:rPr>
          <w:rFonts w:hint="eastAsia" w:ascii="仿宋" w:hAnsi="仿宋" w:eastAsia="仿宋" w:cs="仿宋"/>
          <w:color w:val="auto"/>
        </w:rPr>
        <w:t>明确</w:t>
      </w:r>
      <w:r>
        <w:rPr>
          <w:rFonts w:hint="eastAsia" w:ascii="仿宋" w:hAnsi="仿宋" w:eastAsia="仿宋" w:cs="仿宋"/>
          <w:color w:val="auto"/>
          <w:lang w:val="en-US" w:eastAsia="zh-CN"/>
        </w:rPr>
        <w:t>了</w:t>
      </w:r>
      <w:r>
        <w:rPr>
          <w:rFonts w:hint="eastAsia" w:ascii="仿宋" w:hAnsi="仿宋" w:eastAsia="仿宋" w:cs="仿宋"/>
          <w:color w:val="auto"/>
        </w:rPr>
        <w:t>地块内及周围区域有无可能的污染源，并进行不确定性分析。若有可能的污染源，说明可能的污染类型、污染状况和来源，并提出第二阶段土壤污染状况调查的建议。</w:t>
      </w:r>
    </w:p>
    <w:p>
      <w:pPr>
        <w:bidi w:val="0"/>
        <w:rPr>
          <w:rFonts w:hint="eastAsia" w:ascii="仿宋" w:hAnsi="仿宋" w:eastAsia="仿宋" w:cs="仿宋"/>
          <w:color w:val="auto"/>
        </w:rPr>
      </w:pPr>
      <w:bookmarkStart w:id="120" w:name="_Toc30506"/>
      <w:bookmarkStart w:id="121" w:name="_Toc558"/>
      <w:bookmarkStart w:id="122" w:name="_Toc11481"/>
      <w:bookmarkStart w:id="123" w:name="_Toc6597"/>
      <w:bookmarkStart w:id="124" w:name="_Toc4395"/>
      <w:bookmarkStart w:id="125" w:name="_Toc17516"/>
      <w:bookmarkStart w:id="126" w:name="_Toc705"/>
      <w:bookmarkStart w:id="127" w:name="_Toc7091"/>
      <w:bookmarkStart w:id="128" w:name="_Toc22990"/>
      <w:bookmarkStart w:id="129" w:name="_Toc26479"/>
      <w:r>
        <w:rPr>
          <w:rFonts w:hint="eastAsia" w:ascii="仿宋" w:hAnsi="仿宋" w:eastAsia="仿宋" w:cs="仿宋"/>
          <w:color w:val="auto"/>
        </w:rPr>
        <w:t>（4）制定采样分析方案</w:t>
      </w:r>
      <w:bookmarkEnd w:id="120"/>
      <w:bookmarkEnd w:id="121"/>
      <w:bookmarkEnd w:id="122"/>
      <w:bookmarkEnd w:id="123"/>
      <w:bookmarkEnd w:id="124"/>
      <w:bookmarkEnd w:id="125"/>
      <w:bookmarkEnd w:id="126"/>
      <w:bookmarkEnd w:id="127"/>
      <w:bookmarkEnd w:id="128"/>
      <w:bookmarkEnd w:id="129"/>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根据污染来源的可能性和地块历史变迁资料以及现场踏勘情况，导则要求，制定针对地块的具体工作方案。包括核查已有信息、制定初步监测采样方案、制定健康和安全防护措施、制定样品分析方案、制定质量保证和质量控制等工作内容。</w:t>
      </w:r>
    </w:p>
    <w:p>
      <w:pPr>
        <w:bidi w:val="0"/>
        <w:rPr>
          <w:rFonts w:hint="eastAsia" w:ascii="仿宋" w:hAnsi="仿宋" w:eastAsia="仿宋" w:cs="仿宋"/>
          <w:color w:val="auto"/>
        </w:rPr>
      </w:pPr>
      <w:bookmarkStart w:id="130" w:name="_Toc22952"/>
      <w:bookmarkStart w:id="131" w:name="_Toc18957"/>
      <w:bookmarkStart w:id="132" w:name="_Toc12286"/>
      <w:bookmarkStart w:id="133" w:name="_Toc9466"/>
      <w:bookmarkStart w:id="134" w:name="_Toc21486"/>
      <w:bookmarkStart w:id="135" w:name="_Toc16066"/>
      <w:bookmarkStart w:id="136" w:name="_Toc14794"/>
      <w:bookmarkStart w:id="137" w:name="_Toc16805"/>
      <w:bookmarkStart w:id="138" w:name="_Toc31579"/>
      <w:bookmarkStart w:id="139" w:name="_Toc31558"/>
      <w:r>
        <w:rPr>
          <w:rFonts w:hint="eastAsia" w:ascii="仿宋" w:hAnsi="仿宋" w:eastAsia="仿宋" w:cs="仿宋"/>
          <w:color w:val="auto"/>
        </w:rPr>
        <w:t>（5）现场采样和实验室分析</w:t>
      </w:r>
      <w:bookmarkEnd w:id="130"/>
      <w:bookmarkEnd w:id="131"/>
      <w:bookmarkEnd w:id="132"/>
      <w:bookmarkEnd w:id="133"/>
      <w:bookmarkEnd w:id="134"/>
      <w:bookmarkEnd w:id="135"/>
      <w:bookmarkEnd w:id="136"/>
      <w:bookmarkEnd w:id="137"/>
      <w:bookmarkEnd w:id="138"/>
      <w:bookmarkEnd w:id="139"/>
    </w:p>
    <w:p>
      <w:pPr>
        <w:rPr>
          <w:rFonts w:hint="eastAsia" w:ascii="仿宋" w:hAnsi="仿宋" w:eastAsia="仿宋" w:cs="仿宋"/>
          <w:color w:val="auto"/>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auto"/>
        </w:rPr>
        <w:t>依据采样方案进行现场钻探取样工作，样品由委托的实验室负责采样和分析，依据实验室数据和现场实际生产情况，分析现场污染状况，得出地块是否存在污染的结论，并提出可行性建议。</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 w:hAnsi="仿宋" w:eastAsia="仿宋" w:cs="仿宋"/>
          <w:b/>
          <w:bCs w:val="0"/>
          <w:color w:val="auto"/>
          <w:kern w:val="0"/>
          <w:sz w:val="36"/>
          <w:szCs w:val="36"/>
          <w:lang w:val="en-US" w:eastAsia="zh-CN" w:bidi="zh-CN"/>
        </w:rPr>
      </w:pPr>
      <w:bookmarkStart w:id="140" w:name="_Toc22142"/>
      <w:bookmarkStart w:id="141" w:name="_Toc12195"/>
      <w:bookmarkStart w:id="142" w:name="_Toc4192"/>
      <w:bookmarkStart w:id="143" w:name="_Toc12098"/>
      <w:bookmarkStart w:id="144" w:name="_Toc4791"/>
      <w:r>
        <w:rPr>
          <w:rFonts w:hint="eastAsia" w:ascii="仿宋" w:hAnsi="仿宋" w:eastAsia="仿宋" w:cs="仿宋"/>
          <w:b/>
          <w:bCs w:val="0"/>
          <w:color w:val="auto"/>
          <w:kern w:val="0"/>
          <w:sz w:val="36"/>
          <w:szCs w:val="36"/>
          <w:lang w:val="en-US" w:eastAsia="zh-CN" w:bidi="zh-CN"/>
        </w:rPr>
        <w:t>9  结论和建议</w:t>
      </w:r>
      <w:bookmarkEnd w:id="140"/>
      <w:bookmarkEnd w:id="141"/>
      <w:bookmarkEnd w:id="142"/>
      <w:bookmarkEnd w:id="143"/>
      <w:bookmarkEnd w:id="144"/>
    </w:p>
    <w:p>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145" w:name="_Toc27408"/>
      <w:bookmarkStart w:id="146" w:name="_Toc9364"/>
      <w:bookmarkStart w:id="147" w:name="_Toc30069"/>
      <w:bookmarkStart w:id="148" w:name="_Toc32211"/>
      <w:r>
        <w:rPr>
          <w:rFonts w:hint="eastAsia" w:ascii="仿宋" w:hAnsi="仿宋" w:eastAsia="仿宋" w:cs="仿宋"/>
          <w:b/>
          <w:bCs w:val="0"/>
          <w:color w:val="auto"/>
          <w:sz w:val="28"/>
          <w:szCs w:val="28"/>
          <w:lang w:val="en-US" w:eastAsia="zh-CN"/>
        </w:rPr>
        <w:t>9.1 结论</w:t>
      </w:r>
      <w:bookmarkEnd w:id="145"/>
      <w:bookmarkEnd w:id="146"/>
      <w:bookmarkEnd w:id="147"/>
      <w:bookmarkEnd w:id="148"/>
    </w:p>
    <w:p>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color w:val="auto"/>
          <w:kern w:val="2"/>
          <w:sz w:val="24"/>
          <w:szCs w:val="21"/>
          <w:lang w:val="en-US" w:eastAsia="zh-CN" w:bidi="ar-SA"/>
        </w:rPr>
      </w:pPr>
      <w:r>
        <w:rPr>
          <w:rFonts w:hint="eastAsia" w:ascii="仿宋" w:hAnsi="仿宋" w:eastAsia="仿宋" w:cs="仿宋"/>
          <w:color w:val="auto"/>
          <w:kern w:val="2"/>
          <w:sz w:val="24"/>
          <w:szCs w:val="21"/>
          <w:lang w:val="en-US" w:eastAsia="zh-CN" w:bidi="ar-SA"/>
        </w:rPr>
        <w:t>（1）</w:t>
      </w:r>
      <w:r>
        <w:rPr>
          <w:rFonts w:hint="eastAsia" w:ascii="仿宋" w:hAnsi="仿宋" w:eastAsia="仿宋" w:cs="仿宋"/>
          <w:color w:val="auto"/>
          <w:lang w:val="en-US" w:eastAsia="zh-CN"/>
        </w:rPr>
        <w:t>本次土壤污染状况调查</w:t>
      </w:r>
      <w:r>
        <w:rPr>
          <w:rFonts w:hint="default" w:ascii="Times New Roman" w:hAnsi="Times New Roman" w:eastAsia="仿宋" w:cs="Times New Roman"/>
          <w:color w:val="auto"/>
          <w:sz w:val="24"/>
          <w:szCs w:val="24"/>
          <w:lang w:val="en-US" w:eastAsia="zh-CN"/>
        </w:rPr>
        <w:t>共布设</w:t>
      </w:r>
      <w:r>
        <w:rPr>
          <w:rFonts w:hint="eastAsia" w:eastAsia="仿宋" w:cs="Times New Roman"/>
          <w:color w:val="auto"/>
          <w:sz w:val="24"/>
          <w:szCs w:val="24"/>
          <w:lang w:val="en-US" w:eastAsia="zh-CN"/>
        </w:rPr>
        <w:t>93</w:t>
      </w:r>
      <w:r>
        <w:rPr>
          <w:rFonts w:hint="default" w:ascii="Times New Roman" w:hAnsi="Times New Roman" w:eastAsia="仿宋" w:cs="Times New Roman"/>
          <w:color w:val="auto"/>
          <w:sz w:val="24"/>
          <w:szCs w:val="24"/>
          <w:lang w:val="en-US" w:eastAsia="zh-CN"/>
        </w:rPr>
        <w:t>个土壤采样点位（包含一个土壤对照采样点</w:t>
      </w:r>
      <w:r>
        <w:rPr>
          <w:rFonts w:hint="eastAsia" w:eastAsia="仿宋" w:cs="Times New Roman"/>
          <w:color w:val="auto"/>
          <w:sz w:val="24"/>
          <w:szCs w:val="24"/>
          <w:lang w:val="en-US" w:eastAsia="zh-CN"/>
        </w:rPr>
        <w:t>，12个推土表层样</w:t>
      </w:r>
      <w:r>
        <w:rPr>
          <w:rFonts w:hint="default" w:ascii="Times New Roman" w:hAnsi="Times New Roman" w:eastAsia="仿宋" w:cs="Times New Roman"/>
          <w:color w:val="auto"/>
          <w:sz w:val="24"/>
          <w:szCs w:val="24"/>
          <w:lang w:val="en-US" w:eastAsia="zh-CN"/>
        </w:rPr>
        <w:t>）</w:t>
      </w:r>
      <w:r>
        <w:rPr>
          <w:rFonts w:hint="eastAsia" w:ascii="仿宋" w:hAnsi="仿宋" w:eastAsia="仿宋" w:cs="仿宋"/>
          <w:color w:val="auto"/>
          <w:lang w:val="en-US" w:eastAsia="zh-CN"/>
        </w:rPr>
        <w:t>，</w:t>
      </w:r>
      <w:r>
        <w:rPr>
          <w:rFonts w:hint="eastAsia" w:ascii="Times New Roman" w:hAnsi="Times New Roman" w:eastAsia="仿宋" w:cs="Times New Roman"/>
          <w:color w:val="auto"/>
          <w:kern w:val="2"/>
          <w:sz w:val="24"/>
          <w:szCs w:val="20"/>
          <w:lang w:val="en-US" w:eastAsia="zh-CN" w:bidi="ar-SA"/>
        </w:rPr>
        <w:t>其中T51、T52、T53、T54、T55、T56、T57、T58、T0</w:t>
      </w:r>
      <w:r>
        <w:rPr>
          <w:rFonts w:hint="default" w:ascii="Times New Roman" w:hAnsi="Times New Roman" w:eastAsia="仿宋" w:cs="Times New Roman"/>
          <w:color w:val="auto"/>
          <w:kern w:val="2"/>
          <w:sz w:val="24"/>
          <w:szCs w:val="20"/>
          <w:lang w:val="en-US" w:eastAsia="zh-CN" w:bidi="ar-SA"/>
        </w:rPr>
        <w:t>土壤采样深度为</w:t>
      </w:r>
      <w:r>
        <w:rPr>
          <w:rFonts w:hint="eastAsia" w:ascii="Times New Roman" w:hAnsi="Times New Roman" w:eastAsia="仿宋" w:cs="Times New Roman"/>
          <w:color w:val="auto"/>
          <w:kern w:val="2"/>
          <w:sz w:val="24"/>
          <w:szCs w:val="20"/>
          <w:lang w:val="en-US" w:eastAsia="zh-CN" w:bidi="ar-SA"/>
        </w:rPr>
        <w:t>9</w:t>
      </w:r>
      <w:r>
        <w:rPr>
          <w:rFonts w:hint="default" w:ascii="Times New Roman" w:hAnsi="Times New Roman" w:eastAsia="仿宋" w:cs="Times New Roman"/>
          <w:color w:val="auto"/>
          <w:kern w:val="2"/>
          <w:sz w:val="24"/>
          <w:szCs w:val="20"/>
          <w:lang w:val="en-US" w:eastAsia="zh-CN" w:bidi="ar-SA"/>
        </w:rPr>
        <w:t>m，</w:t>
      </w:r>
      <w:r>
        <w:rPr>
          <w:rFonts w:hint="eastAsia" w:ascii="Times New Roman" w:hAnsi="Times New Roman" w:eastAsia="仿宋" w:cs="Times New Roman"/>
          <w:color w:val="auto"/>
          <w:kern w:val="2"/>
          <w:sz w:val="24"/>
          <w:szCs w:val="20"/>
          <w:lang w:val="en-US" w:eastAsia="zh-CN" w:bidi="ar-SA"/>
        </w:rPr>
        <w:t>其余土壤点位采样深度为6m</w:t>
      </w:r>
      <w:r>
        <w:rPr>
          <w:rFonts w:hint="eastAsia" w:ascii="仿宋" w:hAnsi="仿宋" w:eastAsia="仿宋" w:cs="仿宋"/>
          <w:color w:val="auto"/>
          <w:lang w:val="en-US" w:eastAsia="zh-CN"/>
        </w:rPr>
        <w:t>，</w:t>
      </w:r>
      <w:r>
        <w:rPr>
          <w:rFonts w:hint="default" w:ascii="Times New Roman" w:hAnsi="Times New Roman" w:eastAsia="仿宋" w:cs="Times New Roman"/>
          <w:color w:val="auto"/>
          <w:sz w:val="24"/>
          <w:szCs w:val="24"/>
          <w:lang w:val="en-US" w:eastAsia="zh-CN"/>
        </w:rPr>
        <w:t>共送检</w:t>
      </w:r>
      <w:r>
        <w:rPr>
          <w:rFonts w:hint="eastAsia" w:eastAsia="仿宋" w:cs="Times New Roman"/>
          <w:color w:val="auto"/>
          <w:sz w:val="24"/>
          <w:szCs w:val="24"/>
          <w:lang w:val="en-US" w:eastAsia="zh-CN"/>
        </w:rPr>
        <w:t>428</w:t>
      </w:r>
      <w:r>
        <w:rPr>
          <w:rFonts w:hint="default" w:ascii="Times New Roman" w:hAnsi="Times New Roman" w:eastAsia="仿宋" w:cs="Times New Roman"/>
          <w:color w:val="auto"/>
          <w:szCs w:val="18"/>
          <w:lang w:val="en-US" w:eastAsia="zh-CN"/>
        </w:rPr>
        <w:t>个土壤样品（包括</w:t>
      </w:r>
      <w:r>
        <w:rPr>
          <w:rFonts w:hint="eastAsia" w:eastAsia="仿宋" w:cs="Times New Roman"/>
          <w:color w:val="auto"/>
          <w:szCs w:val="18"/>
          <w:lang w:val="en-US" w:eastAsia="zh-CN"/>
        </w:rPr>
        <w:t>6</w:t>
      </w:r>
      <w:r>
        <w:rPr>
          <w:rFonts w:hint="default" w:ascii="Times New Roman" w:hAnsi="Times New Roman" w:eastAsia="仿宋" w:cs="Times New Roman"/>
          <w:color w:val="auto"/>
          <w:szCs w:val="18"/>
          <w:lang w:val="en-US" w:eastAsia="zh-CN"/>
        </w:rPr>
        <w:t>个对照土样品，</w:t>
      </w:r>
      <w:r>
        <w:rPr>
          <w:rFonts w:hint="eastAsia" w:eastAsia="仿宋" w:cs="Times New Roman"/>
          <w:color w:val="auto"/>
          <w:szCs w:val="18"/>
          <w:lang w:val="en-US" w:eastAsia="zh-CN"/>
        </w:rPr>
        <w:t>41</w:t>
      </w:r>
      <w:r>
        <w:rPr>
          <w:rFonts w:hint="default" w:ascii="Times New Roman" w:hAnsi="Times New Roman" w:eastAsia="仿宋" w:cs="Times New Roman"/>
          <w:color w:val="auto"/>
          <w:szCs w:val="18"/>
          <w:lang w:val="en-US" w:eastAsia="zh-CN"/>
        </w:rPr>
        <w:t>个平行样）</w:t>
      </w:r>
      <w:r>
        <w:rPr>
          <w:rFonts w:hint="eastAsia" w:ascii="仿宋" w:hAnsi="仿宋" w:eastAsia="仿宋" w:cs="仿宋"/>
          <w:color w:val="auto"/>
          <w:lang w:val="en-US" w:eastAsia="zh-CN"/>
        </w:rPr>
        <w:t>。共布设38个地下水监测井（包含一个地下水对照采样点），采集43个地下水样品（包含5个平行样）。共布设2个地表水采样点，共采集3个地表水样品（包含1个平行样），送检3个地表水样品，分析检测3个地表水样品。共布设底泥采样点2个，共采集3个底泥样品，送检3个底泥样品（包含1个平行样），分析检测3个底泥样品。土壤检测项目为：</w:t>
      </w:r>
      <w:r>
        <w:rPr>
          <w:rFonts w:hint="eastAsia" w:ascii="仿宋" w:hAnsi="仿宋" w:eastAsia="仿宋" w:cs="仿宋"/>
          <w:color w:val="auto"/>
          <w:sz w:val="24"/>
          <w:szCs w:val="24"/>
        </w:rPr>
        <w:t>pH值、</w:t>
      </w:r>
      <w:r>
        <w:rPr>
          <w:rFonts w:hint="eastAsia" w:ascii="仿宋" w:hAnsi="仿宋" w:eastAsia="仿宋" w:cs="仿宋"/>
          <w:color w:val="auto"/>
          <w:sz w:val="24"/>
          <w:szCs w:val="24"/>
          <w:lang w:val="en-US" w:eastAsia="zh-CN"/>
        </w:rPr>
        <w:t>CB36600中表1基本项目45项、</w:t>
      </w:r>
      <w:r>
        <w:rPr>
          <w:rFonts w:hint="eastAsia" w:ascii="仿宋" w:hAnsi="仿宋" w:eastAsia="仿宋" w:cs="仿宋"/>
          <w:color w:val="auto"/>
          <w:sz w:val="24"/>
          <w:szCs w:val="24"/>
          <w:vertAlign w:val="baseline"/>
          <w:lang w:val="en-US" w:eastAsia="zh-CN"/>
        </w:rPr>
        <w:t>氨氮、硫化物、氟化物、氯化物、氰化物、硫酸盐、硝酸盐、亚硝酸盐、石油烃（C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vertAlign w:val="baseline"/>
          <w:lang w:val="en-US" w:eastAsia="zh-CN"/>
        </w:rPr>
        <w:t>）、锑、锡、锌、硒、硼、丙酮、苯酚、甲醛、</w:t>
      </w:r>
      <w:r>
        <w:rPr>
          <w:rFonts w:hint="eastAsia" w:ascii="仿宋" w:hAnsi="仿宋" w:eastAsia="仿宋" w:cs="仿宋"/>
          <w:color w:val="auto"/>
          <w:sz w:val="24"/>
          <w:szCs w:val="24"/>
          <w:lang w:val="en-US" w:eastAsia="zh-CN"/>
        </w:rPr>
        <w:t>甲醇</w:t>
      </w:r>
      <w:r>
        <w:rPr>
          <w:rFonts w:hint="eastAsia" w:ascii="仿宋" w:hAnsi="仿宋" w:eastAsia="仿宋" w:cs="仿宋"/>
          <w:color w:val="auto"/>
          <w:sz w:val="24"/>
          <w:szCs w:val="24"/>
          <w:vertAlign w:val="baseline"/>
          <w:lang w:val="en-US" w:eastAsia="zh-CN"/>
        </w:rPr>
        <w:t>、丙烯酸乙酯、甲基叔丁基醚、</w:t>
      </w:r>
      <w:r>
        <w:rPr>
          <w:rFonts w:hint="eastAsia" w:ascii="仿宋" w:hAnsi="仿宋" w:eastAsia="仿宋" w:cs="仿宋"/>
          <w:b w:val="0"/>
          <w:bCs w:val="0"/>
          <w:color w:val="auto"/>
          <w:kern w:val="2"/>
          <w:sz w:val="24"/>
          <w:szCs w:val="24"/>
          <w:lang w:val="en-US" w:eastAsia="zh-CN" w:bidi="ar-SA"/>
        </w:rPr>
        <w:t>二甲基甲酰胺、三氯苯（1，2,3三氯苯、1,2,4三氯苯）</w:t>
      </w:r>
      <w:r>
        <w:rPr>
          <w:rFonts w:hint="eastAsia" w:ascii="仿宋" w:hAnsi="仿宋" w:eastAsia="仿宋" w:cs="仿宋"/>
          <w:color w:val="auto"/>
          <w:sz w:val="24"/>
          <w:szCs w:val="24"/>
          <w:vertAlign w:val="baseline"/>
          <w:lang w:val="en-US" w:eastAsia="zh-CN"/>
        </w:rPr>
        <w:t>、三溴甲烷、</w:t>
      </w:r>
      <w:r>
        <w:rPr>
          <w:rFonts w:hint="eastAsia" w:ascii="仿宋" w:hAnsi="仿宋" w:eastAsia="仿宋" w:cs="仿宋"/>
          <w:b w:val="0"/>
          <w:bCs w:val="0"/>
          <w:color w:val="auto"/>
          <w:kern w:val="2"/>
          <w:sz w:val="24"/>
          <w:szCs w:val="24"/>
          <w:lang w:val="en-US" w:eastAsia="zh-CN" w:bidi="ar-SA"/>
        </w:rPr>
        <w:t>邻苯二酚、间-甲酚、三乙胺、</w:t>
      </w:r>
      <w:r>
        <w:rPr>
          <w:rFonts w:hint="eastAsia" w:ascii="仿宋" w:hAnsi="仿宋" w:eastAsia="仿宋" w:cs="仿宋"/>
          <w:color w:val="auto"/>
          <w:sz w:val="24"/>
          <w:szCs w:val="24"/>
          <w:vertAlign w:val="baseline"/>
          <w:lang w:val="en-US" w:eastAsia="zh-CN"/>
        </w:rPr>
        <w:t>苯胺类及联苯胺类（2-萘胺、联苯胺、2-甲氧基苯胺、2,6-二甲基苯胺、4-甲基苯胺、2-甲基苯胺、2,4-二甲基苯胺、3-氯苯胺、3,3-二氯联苯胺、4-氯苯胺、4-硝基苯胺、3-硝基苯胺、3-甲基苯胺、N-亚硝基二苯胺）。</w:t>
      </w:r>
      <w:r>
        <w:rPr>
          <w:rFonts w:hint="eastAsia" w:ascii="仿宋" w:hAnsi="仿宋" w:eastAsia="仿宋" w:cs="仿宋"/>
          <w:color w:val="auto"/>
          <w:kern w:val="2"/>
          <w:sz w:val="24"/>
          <w:szCs w:val="20"/>
          <w:lang w:val="en-US" w:eastAsia="zh-CN" w:bidi="ar-SA"/>
        </w:rPr>
        <w:t>地下水</w:t>
      </w:r>
      <w:r>
        <w:rPr>
          <w:rFonts w:hint="eastAsia" w:ascii="仿宋" w:hAnsi="仿宋" w:eastAsia="仿宋" w:cs="仿宋"/>
          <w:color w:val="auto"/>
          <w:lang w:val="en-US" w:eastAsia="zh-CN"/>
        </w:rPr>
        <w:t>监测项目为：</w:t>
      </w:r>
      <w:r>
        <w:rPr>
          <w:rFonts w:hint="eastAsia" w:ascii="仿宋" w:hAnsi="仿宋" w:eastAsia="仿宋" w:cs="仿宋"/>
          <w:color w:val="auto"/>
          <w:szCs w:val="21"/>
          <w:lang w:val="en-US" w:eastAsia="zh-CN"/>
        </w:rPr>
        <w:t>pH、GB36660中表1基本项目45项、色度、氨氮、硫化物、氯化物、硫酸盐、耗氧量、硝酸盐、亚硝酸盐、氟化物、挥发酚、阴离子表面活性剂、嗅和味、浑浊度、肉眼可见物、总硬度、溶解性总固体、铁、锰、铝、钠、氰化物、碘化物、石油烃（C10-C40）、石油烃（C6-C9）、锑、锡、锌、硒、硼、丙酮、苯酚、甲醛、甲醇、丙烯酸乙酯、甲基叔丁基醚、二甲基甲酰胺、1，2,3三氯苯、1,2,4三氯苯、三溴甲烷、邻苯二酚、间-甲酚、三乙胺、可吸附有机卤素、苯胺类及联苯胺类（2-萘胺、联苯胺、2-甲氧基苯胺、2,6-二甲基苯胺、4-甲基苯胺、2-甲基苯胺、2,4-二甲基苯胺、3-氯苯胺、3,3-二氯联苯胺、4-氯苯胺、4-硝基苯胺、3-硝基苯胺）。</w:t>
      </w:r>
      <w:r>
        <w:rPr>
          <w:rFonts w:hint="eastAsia" w:ascii="仿宋" w:hAnsi="仿宋" w:eastAsia="仿宋" w:cs="仿宋"/>
          <w:b w:val="0"/>
          <w:bCs w:val="0"/>
          <w:color w:val="auto"/>
          <w:kern w:val="2"/>
          <w:sz w:val="24"/>
          <w:szCs w:val="24"/>
          <w:highlight w:val="none"/>
          <w:lang w:val="en-US" w:eastAsia="zh-CN" w:bidi="ar-SA"/>
        </w:rPr>
        <w:t>地表水监测项目为：pH、COD、色度、氨氮、硫化物、氯化物、硫酸盐、耗氧量、硝酸盐、亚硝酸盐、氟化物、挥发酚、阴离子表面活性剂、可吸附有机卤素、石油烃（C10-C40）、石油烃（C6-C9）、锑、锡、锌、硒、硼、丙酮、苯酚、甲醛、甲醇、丙烯酸乙酯、甲基叔丁基醚、二甲基甲酰胺、1，2,3三氯苯、1,2,4三氯苯、三溴甲烷、邻苯二酚、间-甲酚、三乙胺、苯胺类及联苯胺类（2-萘胺、联苯胺、2-甲氧基苯胺、2,6-二甲基苯胺、4-甲基苯胺、2-甲基苯胺、2,4-二甲基苯胺、3-氯苯胺、3,3-二氯联苯胺、4-氯苯胺、4-硝基苯胺、3-硝基苯胺）、重金属7项（镉、铅、六价铬、铜、镍、汞、砷）、VOCs（27项）、SVOCs（11项）。</w:t>
      </w:r>
      <w:r>
        <w:rPr>
          <w:rFonts w:hint="eastAsia" w:ascii="仿宋" w:hAnsi="仿宋" w:eastAsia="仿宋" w:cs="仿宋"/>
          <w:b w:val="0"/>
          <w:bCs w:val="0"/>
          <w:color w:val="auto"/>
          <w:kern w:val="2"/>
          <w:sz w:val="24"/>
          <w:szCs w:val="24"/>
          <w:lang w:val="en-US" w:eastAsia="zh-CN" w:bidi="ar-SA"/>
        </w:rPr>
        <w:t>底泥监测项目；与土壤监测项目一致。</w:t>
      </w:r>
    </w:p>
    <w:p>
      <w:pPr>
        <w:pStyle w:val="4"/>
        <w:keepNext w:val="0"/>
        <w:keepLines w:val="0"/>
        <w:pageBreakBefore w:val="0"/>
        <w:widowControl w:val="0"/>
        <w:kinsoku/>
        <w:wordWrap/>
        <w:overflowPunct/>
        <w:topLinePunct w:val="0"/>
        <w:autoSpaceDE/>
        <w:autoSpaceDN/>
        <w:bidi w:val="0"/>
        <w:adjustRightInd/>
        <w:snapToGrid/>
        <w:spacing w:after="0" w:afterLines="0"/>
        <w:ind w:firstLine="480" w:firstLineChars="200"/>
        <w:textAlignment w:val="auto"/>
        <w:rPr>
          <w:rFonts w:hint="eastAsia" w:ascii="仿宋" w:hAnsi="仿宋" w:eastAsia="仿宋" w:cs="仿宋"/>
          <w:color w:val="0000FF"/>
          <w:sz w:val="24"/>
          <w:szCs w:val="24"/>
          <w:lang w:val="en-US" w:eastAsia="zh-CN"/>
        </w:rPr>
      </w:pPr>
      <w:r>
        <w:rPr>
          <w:rFonts w:hint="eastAsia" w:ascii="仿宋" w:hAnsi="仿宋" w:eastAsia="仿宋" w:cs="仿宋"/>
          <w:color w:val="auto"/>
          <w:szCs w:val="21"/>
          <w:lang w:val="en-US" w:eastAsia="zh-CN"/>
        </w:rPr>
        <w:t>（2）</w:t>
      </w:r>
      <w:r>
        <w:rPr>
          <w:rFonts w:hint="eastAsia" w:ascii="仿宋" w:hAnsi="仿宋" w:eastAsia="仿宋" w:cs="仿宋"/>
          <w:color w:val="0000FF"/>
          <w:szCs w:val="21"/>
          <w:lang w:val="en-US" w:eastAsia="zh-CN"/>
        </w:rPr>
        <w:t>土壤样品分析：</w:t>
      </w:r>
      <w:r>
        <w:rPr>
          <w:rFonts w:hint="eastAsia" w:ascii="仿宋" w:hAnsi="仿宋" w:eastAsia="仿宋" w:cs="仿宋"/>
          <w:color w:val="0000FF"/>
          <w:sz w:val="24"/>
          <w:szCs w:val="24"/>
        </w:rPr>
        <w:t>土壤各指标均未超过《土壤环境质量建设用地土壤污染风险管控标准（试行）》（GB36600-2018）、《深圳市 建设用地土壤污染风险筛选值和管制值（DB4403_T67-2020）》、《河北省 建设用地土壤污染风险筛选值(DB13_T5216-2020）》、《江苏省 建设用地土壤污染风险筛选值（DB32/T 4712-2024）》、《黑龙江省土壤污染防治风险筛选指导值（试行）》（DB23/T3314-2022）中第一类用地筛选值标准及《污染场地风险评估电子表格》计算出的风险控制值结果。个别位于未来规划为公园绿地的土壤采样点位地表以下1.5m范围内的土壤,同时符合江苏省《建设用地土壤污染风险筛选值（DB32/T 4712-2024）》表2筛选值标准。</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color w:val="auto"/>
          <w:szCs w:val="21"/>
          <w:lang w:val="en-US" w:eastAsia="zh-CN"/>
        </w:rPr>
        <w:t>（3）地下水样品分析：</w:t>
      </w:r>
      <w:r>
        <w:rPr>
          <w:rFonts w:hint="eastAsia" w:ascii="仿宋" w:hAnsi="仿宋" w:eastAsia="仿宋" w:cs="仿宋"/>
          <w:b w:val="0"/>
          <w:bCs w:val="0"/>
          <w:color w:val="auto"/>
          <w:kern w:val="2"/>
          <w:sz w:val="24"/>
          <w:szCs w:val="24"/>
          <w:highlight w:val="none"/>
          <w:lang w:val="en-US" w:eastAsia="zh-CN" w:bidi="ar-SA"/>
        </w:rPr>
        <w:t>除浊度、总硬度、溶解性总固体、硫酸根、氯离子、耗氧量、氨氮、硝酸根指标，其余检出指标均符合《地下水质量标准》（GB/T 14848-2017）中IV类水标准及《上海市建设用地土壤污染状况调查、风险评估、风险管控与修复方案编制、风险管控与修复效果评估工作的补充规定（试行）》（沪环土[2020]62号）第一类用地筛选值标准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color w:val="auto"/>
          <w:kern w:val="2"/>
          <w:sz w:val="24"/>
          <w:szCs w:val="20"/>
          <w:lang w:val="en-US" w:eastAsia="zh-CN" w:bidi="ar-SA"/>
        </w:rPr>
        <w:t>。</w:t>
      </w:r>
      <w:r>
        <w:rPr>
          <w:rFonts w:hint="eastAsia" w:ascii="仿宋" w:hAnsi="仿宋" w:eastAsia="仿宋" w:cs="仿宋"/>
          <w:b w:val="0"/>
          <w:bCs w:val="0"/>
          <w:color w:val="auto"/>
          <w:kern w:val="2"/>
          <w:sz w:val="24"/>
          <w:szCs w:val="24"/>
          <w:highlight w:val="none"/>
          <w:lang w:val="en-US" w:eastAsia="zh-CN" w:bidi="ar-SA"/>
        </w:rPr>
        <w:t>浊度、总硬度、溶解性总固体、硫酸根、氯离子、耗氧量、氨氮超标，其中硫酸根、氯化物、耗氧量、氨氮为本次调查地块的特征因子，超标原因可能为地块内及周边生产活动的长期影响，但均为常规化学指标且环境风险较低，无需进行进一步调查。硝酸盐不是本次调查地块内的特征因子，根据GB/T-14848-2017，硝酸盐为毒理性指标。超标点位为D27，超标倍数为1.36，超标原因可能由于地块西侧最近企业如皋市东皋酱菜厂原辅材料滴漏、生产废水肥田等原因导致。</w:t>
      </w:r>
    </w:p>
    <w:p>
      <w:pPr>
        <w:pStyle w:val="4"/>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szCs w:val="21"/>
          <w:lang w:val="en-US" w:eastAsia="zh-CN"/>
        </w:rPr>
      </w:pPr>
      <w:r>
        <w:rPr>
          <w:rFonts w:hint="eastAsia" w:ascii="仿宋" w:hAnsi="仿宋" w:eastAsia="仿宋" w:cs="仿宋"/>
          <w:b w:val="0"/>
          <w:bCs w:val="0"/>
          <w:color w:val="auto"/>
          <w:kern w:val="2"/>
          <w:sz w:val="24"/>
          <w:szCs w:val="24"/>
          <w:highlight w:val="none"/>
          <w:lang w:val="en-US" w:eastAsia="zh-CN" w:bidi="ar-SA"/>
        </w:rPr>
        <w:t>（4）</w:t>
      </w:r>
      <w:r>
        <w:rPr>
          <w:rFonts w:hint="eastAsia" w:ascii="仿宋" w:hAnsi="仿宋" w:eastAsia="仿宋" w:cs="仿宋"/>
          <w:color w:val="auto"/>
          <w:szCs w:val="21"/>
          <w:lang w:val="en-US" w:eastAsia="zh-CN"/>
        </w:rPr>
        <w:t>地表水样品分析：</w:t>
      </w:r>
      <w:r>
        <w:rPr>
          <w:rFonts w:hint="eastAsia" w:ascii="仿宋" w:hAnsi="仿宋" w:eastAsia="仿宋" w:cs="仿宋"/>
          <w:b w:val="0"/>
          <w:bCs w:val="0"/>
          <w:color w:val="auto"/>
          <w:kern w:val="2"/>
          <w:sz w:val="24"/>
          <w:szCs w:val="24"/>
          <w:highlight w:val="none"/>
          <w:lang w:val="en-US" w:eastAsia="zh-CN" w:bidi="ar-SA"/>
        </w:rPr>
        <w:t>除挥发酚指标外，其余检出因子检出浓度均不超过《地表水质量标准》（GB3838-2002）Ⅲ类标准值。</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ascii="仿宋" w:hAnsi="仿宋" w:eastAsia="仿宋" w:cs="仿宋"/>
          <w:color w:val="auto"/>
          <w:szCs w:val="21"/>
          <w:lang w:val="en-US" w:eastAsia="zh-CN"/>
        </w:rPr>
        <w:t>（5）底泥样品分析：</w:t>
      </w:r>
      <w:r>
        <w:rPr>
          <w:rFonts w:hint="eastAsia" w:ascii="仿宋" w:hAnsi="仿宋" w:eastAsia="仿宋" w:cs="仿宋"/>
          <w:b w:val="0"/>
          <w:bCs w:val="0"/>
          <w:color w:val="auto"/>
          <w:kern w:val="2"/>
          <w:sz w:val="24"/>
          <w:szCs w:val="24"/>
          <w:highlight w:val="none"/>
          <w:lang w:val="en-US" w:eastAsia="zh-CN" w:bidi="ar-SA"/>
        </w:rPr>
        <w:t>除铅、锑指标，其余检出因子检出浓度</w:t>
      </w:r>
      <w:r>
        <w:rPr>
          <w:rFonts w:hint="eastAsia" w:ascii="仿宋" w:hAnsi="仿宋" w:eastAsia="仿宋" w:cs="仿宋"/>
          <w:b w:val="0"/>
          <w:bCs w:val="0"/>
          <w:color w:val="auto"/>
          <w:kern w:val="2"/>
          <w:sz w:val="24"/>
          <w:szCs w:val="24"/>
          <w:lang w:val="en-US" w:eastAsia="zh-CN" w:bidi="ar-SA"/>
        </w:rPr>
        <w:t>均未超过《土壤环境质量建设用地土壤污染风险管控标准（试行）》（GB36600-2018）中第一类用地筛选值。</w:t>
      </w:r>
    </w:p>
    <w:p>
      <w:pPr>
        <w:pStyle w:val="4"/>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4）结论：综合以上结果，该地块监测因子达到标准要求，该地块不属于污染地块，无需进行进一步调查。地块符合《土壤环境质量建设用地土壤污染风险管控标准（试行）》（GB36600-2018）中第一类筛选值要求，可规划为居住用地用途使用。</w:t>
      </w:r>
    </w:p>
    <w:p>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149" w:name="_Toc10972"/>
      <w:bookmarkStart w:id="150" w:name="_Toc6481"/>
      <w:bookmarkStart w:id="151" w:name="_Toc11948"/>
      <w:bookmarkStart w:id="152" w:name="_Toc10722"/>
      <w:r>
        <w:rPr>
          <w:rFonts w:hint="eastAsia" w:ascii="仿宋" w:hAnsi="仿宋" w:eastAsia="仿宋" w:cs="仿宋"/>
          <w:b/>
          <w:bCs w:val="0"/>
          <w:color w:val="auto"/>
          <w:sz w:val="28"/>
          <w:szCs w:val="28"/>
          <w:lang w:val="en-US" w:eastAsia="zh-CN"/>
        </w:rPr>
        <w:t>9.2 建议</w:t>
      </w:r>
      <w:bookmarkEnd w:id="149"/>
      <w:bookmarkEnd w:id="150"/>
      <w:bookmarkEnd w:id="151"/>
      <w:bookmarkEnd w:id="152"/>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后续地块再开发利用工作时，应该遵循相关环境保护规程，保护环境和人体健康，避免产生土壤和地下水污染。结合上述调查结论，建议通过以下手段进行风险管控：</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（1）本地块规划为</w:t>
      </w:r>
      <w:r>
        <w:rPr>
          <w:rFonts w:hint="eastAsia" w:ascii="仿宋" w:hAnsi="仿宋" w:eastAsia="仿宋" w:cs="仿宋"/>
          <w:color w:val="auto"/>
          <w:lang w:val="en-US" w:eastAsia="zh-CN"/>
        </w:rPr>
        <w:t>居住用地</w:t>
      </w:r>
      <w:r>
        <w:rPr>
          <w:rFonts w:hint="eastAsia" w:ascii="仿宋" w:hAnsi="仿宋" w:eastAsia="仿宋" w:cs="仿宋"/>
          <w:color w:val="auto"/>
        </w:rPr>
        <w:t>，在下一步开发或建筑施工期间应保护地块不被外界人为环境污染。控制该地块保持现有的良好状态，杜绝地块在调查期与接下来再开发利用的监管真空，防止出现人为倾倒固废、偷排工业废水等现象。</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（2）开发时尽量避免人体直接接触土壤和地下水，尤其是地块涉及开挖等措施时，应加强人员的劳保防护，如佩戴口罩、手套和雨靴等。</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w:t>
      </w:r>
      <w:r>
        <w:rPr>
          <w:rFonts w:hint="eastAsia" w:ascii="仿宋" w:hAnsi="仿宋" w:eastAsia="仿宋" w:cs="仿宋"/>
          <w:color w:val="auto"/>
          <w:lang w:val="en-US" w:eastAsia="zh-CN"/>
        </w:rPr>
        <w:t>本次调查区域内地下水总体水质未达GB/T 14848-2017中</w:t>
      </w:r>
      <w:r>
        <w:rPr>
          <w:rFonts w:hint="eastAsia" w:ascii="仿宋" w:hAnsi="仿宋" w:eastAsia="仿宋" w:cs="仿宋"/>
          <w:color w:val="auto"/>
          <w:lang w:val="en-US" w:eastAsia="zh-CN"/>
        </w:rPr>
        <w:fldChar w:fldCharType="begin"/>
      </w:r>
      <w:r>
        <w:rPr>
          <w:rFonts w:hint="eastAsia" w:ascii="仿宋" w:hAnsi="仿宋" w:eastAsia="仿宋" w:cs="仿宋"/>
          <w:color w:val="auto"/>
          <w:lang w:val="en-US" w:eastAsia="zh-CN"/>
        </w:rPr>
        <w:instrText xml:space="preserve"> = 4 \* ROMAN \* MERGEFORMAT </w:instrText>
      </w:r>
      <w:r>
        <w:rPr>
          <w:rFonts w:hint="eastAsia" w:ascii="仿宋" w:hAnsi="仿宋" w:eastAsia="仿宋" w:cs="仿宋"/>
          <w:color w:val="auto"/>
          <w:lang w:val="en-US" w:eastAsia="zh-CN"/>
        </w:rPr>
        <w:fldChar w:fldCharType="separate"/>
      </w:r>
      <w:r>
        <w:rPr>
          <w:rFonts w:hint="eastAsia" w:ascii="仿宋" w:hAnsi="仿宋" w:eastAsia="仿宋" w:cs="仿宋"/>
          <w:color w:val="auto"/>
        </w:rPr>
        <w:t>IV</w:t>
      </w:r>
      <w:r>
        <w:rPr>
          <w:rFonts w:hint="eastAsia" w:ascii="仿宋" w:hAnsi="仿宋" w:eastAsia="仿宋" w:cs="仿宋"/>
          <w:color w:val="auto"/>
          <w:lang w:val="en-US" w:eastAsia="zh-CN"/>
        </w:rPr>
        <w:fldChar w:fldCharType="end"/>
      </w:r>
      <w:r>
        <w:rPr>
          <w:rFonts w:hint="eastAsia" w:ascii="仿宋" w:hAnsi="仿宋" w:eastAsia="仿宋" w:cs="仿宋"/>
          <w:color w:val="auto"/>
          <w:lang w:val="en-US" w:eastAsia="zh-CN"/>
        </w:rPr>
        <w:t>类水质标准，在地块的未来开发利用中禁止开发利用地下水。</w:t>
      </w:r>
    </w:p>
    <w:p>
      <w:pPr>
        <w:pStyle w:val="4"/>
        <w:keepNext w:val="0"/>
        <w:keepLines w:val="0"/>
        <w:pageBreakBefore w:val="0"/>
        <w:widowControl w:val="0"/>
        <w:kinsoku/>
        <w:wordWrap/>
        <w:overflowPunct/>
        <w:topLinePunct w:val="0"/>
        <w:autoSpaceDE/>
        <w:autoSpaceDN/>
        <w:bidi w:val="0"/>
        <w:adjustRightInd/>
        <w:snapToGrid/>
        <w:spacing w:after="0" w:afterLines="0"/>
        <w:textAlignment w:val="auto"/>
        <w:rPr>
          <w:rFonts w:hint="eastAsia"/>
          <w:lang w:val="en-US" w:eastAsia="zh-CN"/>
        </w:rPr>
      </w:pPr>
      <w:r>
        <w:rPr>
          <w:rFonts w:hint="eastAsia" w:ascii="仿宋" w:hAnsi="仿宋" w:eastAsia="仿宋" w:cs="仿宋"/>
          <w:color w:val="auto"/>
          <w:lang w:val="en-US" w:eastAsia="zh-CN"/>
        </w:rPr>
        <w:t>（4）本次调查地块外北侧地表水如泰运河底泥监测结果显示：铅、锑超出《土壤环境质量建设用地土壤污染风险管控标准（试行）》（GB36600-2018）第一类用地筛选值，建议后续涉及到该河流区域开发利用时补充监测，根据检测结果按照国家及地方相关的法律法规要求处置，不得随意处置。</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rPr>
        <w:t>地块开发建设阶段需对本地块土壤及建筑垃圾妥善处置，不可随意外运倾倒；注意做好建筑工人的安全防护。同时需做好地块管理工作，禁止外来土随意堆放</w:t>
      </w:r>
      <w:r>
        <w:rPr>
          <w:rFonts w:hint="eastAsia" w:ascii="仿宋" w:hAnsi="仿宋" w:eastAsia="仿宋" w:cs="仿宋"/>
          <w:color w:val="auto"/>
          <w:lang w:eastAsia="zh-CN"/>
        </w:rPr>
        <w:t>。</w:t>
      </w:r>
    </w:p>
    <w:p>
      <w:pPr>
        <w:rPr>
          <w:rFonts w:hint="eastAsia" w:ascii="仿宋" w:hAnsi="仿宋" w:eastAsia="仿宋" w:cs="仿宋"/>
          <w:color w:val="auto"/>
        </w:rPr>
      </w:pPr>
      <w:bookmarkStart w:id="153" w:name="_GoBack"/>
      <w:bookmarkEnd w:id="153"/>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宋体" w:hAnsi="宋体" w:eastAsia="宋体" w:cs="宋体"/>
        <w:sz w:val="20"/>
        <w:szCs w:val="24"/>
        <w:lang w:val="zh-CN" w:eastAsia="zh-CN" w:bidi="zh-CN"/>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ind w:left="0" w:leftChars="0" w:firstLine="0" w:firstLineChars="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ind w:left="0" w:leftChars="0" w:firstLine="0" w:firstLineChars="0"/>
      <w:jc w:val="center"/>
      <w:rPr>
        <w:sz w:val="18"/>
        <w:szCs w:val="18"/>
      </w:rPr>
    </w:pPr>
    <w:r>
      <w:rPr>
        <w:rFonts w:hint="eastAsia" w:cs="Times New Roman"/>
        <w:sz w:val="18"/>
        <w:szCs w:val="18"/>
        <w:lang w:val="en-US" w:eastAsia="zh-CN"/>
      </w:rPr>
      <w:t>如皋城西片区一期西部志颐路东、如泰运河南地块土壤污染状况</w:t>
    </w:r>
    <w:r>
      <w:rPr>
        <w:rFonts w:hint="default" w:ascii="Times New Roman" w:hAnsi="Times New Roman" w:eastAsia="宋体" w:cs="Times New Roman"/>
        <w:sz w:val="18"/>
        <w:szCs w:val="18"/>
        <w:lang w:val="en-US" w:eastAsia="zh-CN"/>
      </w:rPr>
      <w:t>调查报告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ind w:left="0" w:leftChars="0" w:firstLine="0" w:firstLineChars="0"/>
      <w:jc w:val="center"/>
      <w:rPr>
        <w:sz w:val="18"/>
        <w:szCs w:val="18"/>
      </w:rPr>
    </w:pPr>
    <w:r>
      <w:rPr>
        <w:rFonts w:hint="eastAsia" w:cs="Times New Roman"/>
        <w:sz w:val="18"/>
        <w:szCs w:val="18"/>
        <w:lang w:val="en-US" w:eastAsia="zh-CN"/>
      </w:rPr>
      <w:t>如皋城西片区一期西部志颐路东、如泰运河南地块</w:t>
    </w:r>
    <w:r>
      <w:rPr>
        <w:rFonts w:hint="default" w:ascii="Times New Roman" w:hAnsi="Times New Roman" w:eastAsia="宋体" w:cs="Times New Roman"/>
        <w:sz w:val="18"/>
        <w:szCs w:val="18"/>
        <w:lang w:val="en-US" w:eastAsia="zh-CN"/>
      </w:rPr>
      <w:t>土壤污染状况调查报告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abstractNum w:abstractNumId="1">
    <w:nsid w:val="60872F7D"/>
    <w:multiLevelType w:val="multilevel"/>
    <w:tmpl w:val="60872F7D"/>
    <w:lvl w:ilvl="0" w:tentative="0">
      <w:start w:val="1"/>
      <w:numFmt w:val="decimal"/>
      <w:lvlText w:val="%1"/>
      <w:lvlJc w:val="left"/>
      <w:pPr>
        <w:ind w:left="432" w:hanging="432"/>
      </w:pPr>
      <w:rPr>
        <w:rFonts w:hint="default" w:ascii="Times New Roman" w:hAnsi="Times New Roman" w:eastAsia="宋体"/>
      </w:rPr>
    </w:lvl>
    <w:lvl w:ilvl="1" w:tentative="0">
      <w:start w:val="1"/>
      <w:numFmt w:val="decimal"/>
      <w:lvlText w:val="%1.%2"/>
      <w:lvlJc w:val="left"/>
      <w:pPr>
        <w:ind w:left="575" w:hanging="575"/>
      </w:pPr>
      <w:rPr>
        <w:rFonts w:hint="default" w:ascii="Times New Roman" w:hAnsi="Times New Roman" w:eastAsia="宋体"/>
      </w:rPr>
    </w:lvl>
    <w:lvl w:ilvl="2" w:tentative="0">
      <w:start w:val="1"/>
      <w:numFmt w:val="decimal"/>
      <w:pStyle w:val="2"/>
      <w:lvlText w:val="%1.%2.%3"/>
      <w:lvlJc w:val="left"/>
      <w:pPr>
        <w:ind w:left="720" w:hanging="720"/>
      </w:pPr>
      <w:rPr>
        <w:rFonts w:hint="default" w:ascii="Times New Roman" w:hAnsi="Times New Roman" w:eastAsia="宋体"/>
      </w:rPr>
    </w:lvl>
    <w:lvl w:ilvl="3" w:tentative="0">
      <w:start w:val="1"/>
      <w:numFmt w:val="decimal"/>
      <w:lvlText w:val="%1.%2.%3.%4"/>
      <w:lvlJc w:val="left"/>
      <w:pPr>
        <w:ind w:left="864" w:hanging="864"/>
      </w:pPr>
      <w:rPr>
        <w:rFonts w:hint="default" w:ascii="Times New Roman" w:hAnsi="Times New Roman" w:eastAsia="宋体"/>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6584A73E"/>
    <w:multiLevelType w:val="singleLevel"/>
    <w:tmpl w:val="6584A73E"/>
    <w:lvl w:ilvl="0" w:tentative="0">
      <w:start w:val="1"/>
      <w:numFmt w:val="bullet"/>
      <w:pStyle w:val="6"/>
      <w:lvlText w:val=""/>
      <w:lvlJc w:val="left"/>
      <w:pPr>
        <w:tabs>
          <w:tab w:val="left" w:pos="2040"/>
        </w:tabs>
        <w:ind w:left="204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WVjOWFmYjM0NTIzMzMzZDIyY2RmZGY3MTNkYzcifQ=="/>
  </w:docVars>
  <w:rsids>
    <w:rsidRoot w:val="67B812CA"/>
    <w:rsid w:val="67B81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paragraph" w:styleId="2">
    <w:name w:val="heading 3"/>
    <w:basedOn w:val="1"/>
    <w:next w:val="3"/>
    <w:unhideWhenUsed/>
    <w:qFormat/>
    <w:uiPriority w:val="0"/>
    <w:pPr>
      <w:keepNext/>
      <w:keepLines/>
      <w:numPr>
        <w:ilvl w:val="2"/>
        <w:numId w:val="1"/>
      </w:numPr>
      <w:spacing w:before="260" w:beforeLines="0" w:beforeAutospacing="0" w:after="260" w:afterLines="0" w:afterAutospacing="0" w:line="360" w:lineRule="auto"/>
      <w:ind w:left="720" w:hanging="720" w:firstLineChars="0"/>
      <w:outlineLvl w:val="2"/>
    </w:pPr>
    <w:rPr>
      <w:rFonts w:ascii="Times New Roman" w:hAnsi="Times New Roman" w:eastAsia="宋体" w:cs="Times New Roman"/>
      <w:b/>
      <w:sz w:val="32"/>
      <w:szCs w:val="22"/>
    </w:rPr>
  </w:style>
  <w:style w:type="character" w:default="1" w:styleId="14">
    <w:name w:val="Default Paragraph Font"/>
    <w:autoRedefine/>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ody Text"/>
    <w:basedOn w:val="1"/>
    <w:next w:val="1"/>
    <w:qFormat/>
    <w:uiPriority w:val="0"/>
    <w:pPr>
      <w:spacing w:after="120" w:afterLines="0" w:afterAutospacing="0"/>
    </w:pPr>
  </w:style>
  <w:style w:type="paragraph" w:styleId="5">
    <w:name w:val="Body Text Indent"/>
    <w:basedOn w:val="1"/>
    <w:next w:val="1"/>
    <w:qFormat/>
    <w:uiPriority w:val="0"/>
    <w:pPr>
      <w:spacing w:after="120" w:afterLines="0" w:afterAutospacing="0"/>
      <w:ind w:left="420" w:leftChars="200"/>
    </w:pPr>
  </w:style>
  <w:style w:type="paragraph" w:styleId="6">
    <w:name w:val="List Bullet 5"/>
    <w:basedOn w:val="1"/>
    <w:uiPriority w:val="0"/>
    <w:pPr>
      <w:numPr>
        <w:ilvl w:val="0"/>
        <w:numId w:val="2"/>
      </w:numPr>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10">
    <w:name w:val="Body Text First Indent"/>
    <w:basedOn w:val="4"/>
    <w:qFormat/>
    <w:uiPriority w:val="0"/>
    <w:pPr>
      <w:ind w:firstLine="420" w:firstLineChars="100"/>
    </w:pPr>
  </w:style>
  <w:style w:type="paragraph" w:styleId="11">
    <w:name w:val="Body Text First Indent 2"/>
    <w:basedOn w:val="5"/>
    <w:next w:val="10"/>
    <w:qFormat/>
    <w:uiPriority w:val="0"/>
    <w:pPr>
      <w:ind w:left="0" w:leftChars="0" w:firstLine="420" w:firstLineChars="200"/>
      <w:jc w:val="center"/>
    </w:pPr>
    <w:rPr>
      <w:rFonts w:ascii="Times New Roman" w:hAnsi="Times New Roman"/>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其他文本"/>
    <w:basedOn w:val="1"/>
    <w:autoRedefine/>
    <w:qFormat/>
    <w:uiPriority w:val="0"/>
    <w:pPr>
      <w:ind w:firstLine="0" w:firstLineChars="0"/>
      <w:jc w:val="center"/>
    </w:pPr>
    <w:rPr>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emf"/><Relationship Id="rId14" Type="http://schemas.openxmlformats.org/officeDocument/2006/relationships/oleObject" Target="embeddings/oleObject1.bin"/><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2024-04-15T02:34:00Z</dcterms:created>
  <dc:creator>一贫如喜羊羊</dc:creator>
  <cp:lastModifiedBy>一贫如喜羊羊</cp:lastModifiedBy>
  <dcterms:modified xsi:type="dcterms:W3CDTF">2024-04-15T02:35:53Z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902F0625DA5146EDBF7C894F4EE0408A_11</vt:lpwstr>
  </property>
</Properties>
</file>