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F4F77">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eastAsia" w:ascii="仿宋" w:hAnsi="仿宋" w:eastAsia="仿宋" w:cs="仿宋"/>
          <w:b/>
          <w:bCs/>
          <w:color w:val="auto"/>
          <w:sz w:val="48"/>
          <w:szCs w:val="32"/>
          <w:lang w:val="en-US" w:eastAsia="zh-CN"/>
        </w:rPr>
      </w:pPr>
    </w:p>
    <w:p w14:paraId="08E233DC">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eastAsia" w:ascii="仿宋" w:hAnsi="仿宋" w:eastAsia="仿宋" w:cs="仿宋"/>
          <w:b/>
          <w:bCs/>
          <w:color w:val="auto"/>
          <w:sz w:val="52"/>
          <w:szCs w:val="52"/>
          <w:lang w:val="en-US" w:eastAsia="zh-CN"/>
        </w:rPr>
      </w:pPr>
      <w:bookmarkStart w:id="0" w:name="_Toc10446"/>
      <w:bookmarkStart w:id="1" w:name="_Toc11591"/>
      <w:r>
        <w:rPr>
          <w:rFonts w:hint="eastAsia" w:ascii="仿宋" w:hAnsi="仿宋" w:eastAsia="仿宋" w:cs="仿宋"/>
          <w:b/>
          <w:bCs/>
          <w:color w:val="auto"/>
          <w:sz w:val="52"/>
          <w:szCs w:val="52"/>
          <w:lang w:val="en-US" w:eastAsia="zh-CN"/>
        </w:rPr>
        <w:t>如皋城西片区一期广福路北、花城大道东（319#B）地块</w:t>
      </w:r>
    </w:p>
    <w:p w14:paraId="1F9545EA">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eastAsia" w:ascii="仿宋" w:hAnsi="仿宋" w:eastAsia="仿宋" w:cs="仿宋"/>
          <w:b/>
          <w:bCs/>
          <w:color w:val="auto"/>
          <w:sz w:val="52"/>
          <w:szCs w:val="52"/>
          <w:lang w:val="en-US" w:eastAsia="zh-CN"/>
        </w:rPr>
      </w:pPr>
      <w:r>
        <w:rPr>
          <w:rFonts w:hint="eastAsia" w:ascii="仿宋" w:hAnsi="仿宋" w:eastAsia="仿宋" w:cs="仿宋"/>
          <w:b/>
          <w:bCs/>
          <w:color w:val="auto"/>
          <w:sz w:val="52"/>
          <w:szCs w:val="52"/>
          <w:lang w:val="en-US" w:eastAsia="zh-CN"/>
        </w:rPr>
        <w:t>土壤污染状况调查报告</w:t>
      </w:r>
      <w:bookmarkEnd w:id="0"/>
      <w:bookmarkEnd w:id="1"/>
    </w:p>
    <w:p w14:paraId="4B152806">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eastAsia" w:ascii="仿宋" w:hAnsi="仿宋" w:eastAsia="仿宋" w:cs="仿宋"/>
          <w:b/>
          <w:bCs/>
          <w:color w:val="auto"/>
          <w:sz w:val="52"/>
          <w:szCs w:val="52"/>
          <w:lang w:val="en-US" w:eastAsia="zh-CN"/>
        </w:rPr>
      </w:pPr>
      <w:r>
        <w:rPr>
          <w:rFonts w:hint="eastAsia" w:ascii="仿宋" w:hAnsi="仿宋" w:eastAsia="仿宋" w:cs="仿宋"/>
          <w:b/>
          <w:bCs/>
          <w:color w:val="auto"/>
          <w:sz w:val="52"/>
          <w:szCs w:val="52"/>
          <w:lang w:val="en-US" w:eastAsia="zh-CN"/>
        </w:rPr>
        <w:t>（送审稿）</w:t>
      </w:r>
    </w:p>
    <w:p w14:paraId="22D52CC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9"/>
        <w:rPr>
          <w:rFonts w:hint="eastAsia" w:ascii="仿宋" w:hAnsi="仿宋" w:eastAsia="仿宋" w:cs="仿宋"/>
          <w:color w:val="auto"/>
          <w:lang w:val="en-US" w:eastAsia="zh-CN"/>
        </w:rPr>
      </w:pPr>
    </w:p>
    <w:p w14:paraId="56B05671">
      <w:pPr>
        <w:pStyle w:val="13"/>
        <w:keepNext w:val="0"/>
        <w:keepLines w:val="0"/>
        <w:pageBreakBefore w:val="0"/>
        <w:widowControl w:val="0"/>
        <w:kinsoku/>
        <w:wordWrap/>
        <w:overflowPunct/>
        <w:topLinePunct w:val="0"/>
        <w:autoSpaceDE/>
        <w:autoSpaceDN/>
        <w:bidi w:val="0"/>
        <w:adjustRightInd/>
        <w:snapToGrid/>
        <w:spacing w:after="0" w:afterLines="0"/>
        <w:textAlignment w:val="auto"/>
        <w:outlineLvl w:val="9"/>
        <w:rPr>
          <w:rFonts w:hint="eastAsia" w:ascii="仿宋" w:hAnsi="仿宋" w:eastAsia="仿宋" w:cs="仿宋"/>
          <w:color w:val="auto"/>
          <w:lang w:val="en-US" w:eastAsia="zh-CN"/>
        </w:rPr>
      </w:pPr>
    </w:p>
    <w:p w14:paraId="53CEBDB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9"/>
        <w:rPr>
          <w:rFonts w:hint="eastAsia" w:ascii="仿宋" w:hAnsi="仿宋" w:eastAsia="仿宋" w:cs="仿宋"/>
          <w:color w:val="auto"/>
          <w:lang w:val="en-US" w:eastAsia="zh-CN"/>
        </w:rPr>
      </w:pPr>
    </w:p>
    <w:p w14:paraId="7AE54C4E">
      <w:pPr>
        <w:pStyle w:val="12"/>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5087081A">
      <w:pPr>
        <w:pStyle w:val="12"/>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69A289C6">
      <w:pPr>
        <w:pStyle w:val="12"/>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4EF4575B">
      <w:pPr>
        <w:pStyle w:val="12"/>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4656BEEB">
      <w:pPr>
        <w:pStyle w:val="12"/>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37F72236">
      <w:pPr>
        <w:pStyle w:val="12"/>
        <w:keepNext w:val="0"/>
        <w:keepLines w:val="0"/>
        <w:pageBreakBefore w:val="0"/>
        <w:widowControl w:val="0"/>
        <w:kinsoku/>
        <w:wordWrap/>
        <w:overflowPunct/>
        <w:topLinePunct w:val="0"/>
        <w:autoSpaceDE/>
        <w:autoSpaceDN/>
        <w:bidi w:val="0"/>
        <w:adjustRightInd/>
        <w:snapToGrid/>
        <w:spacing w:after="0" w:afterLines="0"/>
        <w:textAlignment w:val="auto"/>
        <w:rPr>
          <w:rFonts w:hint="default" w:ascii="仿宋" w:hAnsi="仿宋" w:eastAsia="仿宋" w:cs="仿宋"/>
          <w:color w:val="auto"/>
          <w:lang w:val="en-US" w:eastAsia="zh-CN"/>
        </w:rPr>
      </w:pPr>
      <w:r>
        <w:rPr>
          <w:rFonts w:hint="eastAsia" w:ascii="仿宋" w:hAnsi="仿宋" w:eastAsia="仿宋" w:cs="仿宋"/>
          <w:color w:val="auto"/>
          <w:lang w:val="en-US" w:eastAsia="zh-CN"/>
        </w:rPr>
        <w:t xml:space="preserve"> </w:t>
      </w:r>
    </w:p>
    <w:p w14:paraId="4F2C1954">
      <w:pPr>
        <w:pStyle w:val="12"/>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180888D4">
      <w:pPr>
        <w:pStyle w:val="12"/>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7485A5FC">
      <w:pPr>
        <w:pStyle w:val="12"/>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23432DF5">
      <w:pPr>
        <w:pStyle w:val="12"/>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35785A96">
      <w:pPr>
        <w:pStyle w:val="12"/>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19A01700">
      <w:pPr>
        <w:pStyle w:val="12"/>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10D380AD">
      <w:pPr>
        <w:pStyle w:val="12"/>
        <w:keepNext w:val="0"/>
        <w:keepLines w:val="0"/>
        <w:pageBreakBefore w:val="0"/>
        <w:widowControl w:val="0"/>
        <w:kinsoku/>
        <w:wordWrap/>
        <w:overflowPunct/>
        <w:topLinePunct w:val="0"/>
        <w:autoSpaceDE/>
        <w:autoSpaceDN/>
        <w:bidi w:val="0"/>
        <w:adjustRightInd/>
        <w:snapToGrid/>
        <w:spacing w:after="0" w:afterLines="0"/>
        <w:textAlignment w:val="auto"/>
        <w:outlineLvl w:val="9"/>
        <w:rPr>
          <w:rFonts w:hint="eastAsia" w:ascii="仿宋" w:hAnsi="仿宋" w:eastAsia="仿宋" w:cs="仿宋"/>
          <w:color w:val="auto"/>
          <w:lang w:val="en-US" w:eastAsia="zh-CN"/>
        </w:rPr>
      </w:pPr>
    </w:p>
    <w:p w14:paraId="13D15A5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仿宋" w:hAnsi="仿宋" w:eastAsia="仿宋" w:cs="仿宋"/>
          <w:b/>
          <w:bCs/>
          <w:color w:val="auto"/>
          <w:sz w:val="30"/>
          <w:szCs w:val="30"/>
          <w:lang w:val="en-US" w:eastAsia="zh-CN"/>
        </w:rPr>
      </w:pPr>
      <w:bookmarkStart w:id="2" w:name="_Toc18254"/>
      <w:bookmarkStart w:id="3" w:name="_Toc3447"/>
      <w:r>
        <w:rPr>
          <w:rFonts w:hint="eastAsia" w:ascii="仿宋" w:hAnsi="仿宋" w:eastAsia="仿宋" w:cs="仿宋"/>
          <w:b/>
          <w:bCs/>
          <w:color w:val="auto"/>
          <w:sz w:val="30"/>
          <w:szCs w:val="30"/>
          <w:lang w:val="en-US" w:eastAsia="zh-CN"/>
        </w:rPr>
        <w:t>委托单位：</w:t>
      </w:r>
      <w:bookmarkEnd w:id="2"/>
      <w:bookmarkEnd w:id="3"/>
      <w:r>
        <w:rPr>
          <w:rFonts w:hint="eastAsia" w:ascii="仿宋" w:hAnsi="仿宋" w:eastAsia="仿宋" w:cs="仿宋"/>
          <w:b/>
          <w:bCs/>
          <w:color w:val="auto"/>
          <w:sz w:val="30"/>
          <w:szCs w:val="30"/>
          <w:lang w:val="en-US" w:eastAsia="zh-CN"/>
        </w:rPr>
        <w:t>如皋市西片区综合开发有限公司</w:t>
      </w:r>
    </w:p>
    <w:p w14:paraId="6028159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仿宋" w:hAnsi="仿宋" w:eastAsia="仿宋" w:cs="仿宋"/>
          <w:b/>
          <w:bCs/>
          <w:color w:val="auto"/>
          <w:sz w:val="30"/>
          <w:szCs w:val="30"/>
          <w:lang w:val="en-US" w:eastAsia="zh-CN"/>
        </w:rPr>
      </w:pPr>
      <w:bookmarkStart w:id="4" w:name="_Toc20163"/>
      <w:bookmarkStart w:id="5" w:name="_Toc14118"/>
      <w:r>
        <w:rPr>
          <w:rFonts w:hint="eastAsia" w:ascii="仿宋" w:hAnsi="仿宋" w:eastAsia="仿宋" w:cs="仿宋"/>
          <w:b/>
          <w:bCs/>
          <w:color w:val="auto"/>
          <w:sz w:val="30"/>
          <w:szCs w:val="30"/>
          <w:lang w:val="en-US" w:eastAsia="zh-CN"/>
        </w:rPr>
        <w:t>报告出具单位：江苏标普检测科技有限公司</w:t>
      </w:r>
      <w:bookmarkEnd w:id="4"/>
      <w:bookmarkEnd w:id="5"/>
    </w:p>
    <w:p w14:paraId="242DD8A8">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ascii="仿宋" w:hAnsi="仿宋" w:eastAsia="仿宋" w:cs="仿宋"/>
          <w:b/>
          <w:bCs/>
          <w:color w:val="auto"/>
          <w:sz w:val="30"/>
          <w:szCs w:val="30"/>
          <w:lang w:val="en-US" w:eastAsia="zh-CN"/>
        </w:r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仿宋" w:hAnsi="仿宋" w:eastAsia="仿宋" w:cs="仿宋"/>
          <w:b/>
          <w:bCs/>
          <w:color w:val="auto"/>
          <w:sz w:val="30"/>
          <w:szCs w:val="30"/>
          <w:lang w:val="en-US" w:eastAsia="zh-CN"/>
        </w:rPr>
        <w:t>2024年7月</w:t>
      </w:r>
    </w:p>
    <w:p w14:paraId="461D3DA8">
      <w:pPr>
        <w:pStyle w:val="4"/>
        <w:rPr>
          <w:rFonts w:hint="eastAsia" w:ascii="仿宋" w:hAnsi="仿宋" w:eastAsia="仿宋" w:cs="仿宋"/>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30716A60">
      <w:pPr>
        <w:pStyle w:val="17"/>
        <w:jc w:val="center"/>
        <w:rPr>
          <w:rFonts w:hint="eastAsia" w:ascii="仿宋" w:hAnsi="仿宋" w:eastAsia="仿宋" w:cs="仿宋"/>
          <w:color w:val="auto"/>
        </w:rPr>
      </w:pPr>
      <w:r>
        <w:rPr>
          <w:rFonts w:hint="eastAsia" w:ascii="仿宋" w:hAnsi="仿宋" w:eastAsia="仿宋" w:cs="仿宋"/>
          <w:color w:val="auto"/>
        </w:rPr>
        <w:drawing>
          <wp:inline distT="0" distB="0" distL="114300" distR="114300">
            <wp:extent cx="4846955" cy="3434080"/>
            <wp:effectExtent l="0" t="0" r="10795" b="13970"/>
            <wp:docPr id="63" name="图片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430"/>
                    <pic:cNvPicPr>
                      <a:picLocks noChangeAspect="1"/>
                    </pic:cNvPicPr>
                  </pic:nvPicPr>
                  <pic:blipFill>
                    <a:blip r:embed="rId13"/>
                    <a:stretch>
                      <a:fillRect/>
                    </a:stretch>
                  </pic:blipFill>
                  <pic:spPr>
                    <a:xfrm>
                      <a:off x="0" y="0"/>
                      <a:ext cx="4846955" cy="3434080"/>
                    </a:xfrm>
                    <a:prstGeom prst="rect">
                      <a:avLst/>
                    </a:prstGeom>
                    <a:noFill/>
                    <a:ln>
                      <a:noFill/>
                    </a:ln>
                  </pic:spPr>
                </pic:pic>
              </a:graphicData>
            </a:graphic>
          </wp:inline>
        </w:drawing>
      </w:r>
    </w:p>
    <w:p w14:paraId="65A3BF8A">
      <w:pPr>
        <w:pStyle w:val="17"/>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项目名称：如皋城西片区一期广福路北、花城大道东（319#B）地块土壤污染状况调查报告</w:t>
      </w:r>
    </w:p>
    <w:p w14:paraId="58B1424E">
      <w:pPr>
        <w:pStyle w:val="17"/>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委托单位：如皋市西片区综合开发有限公司</w:t>
      </w:r>
    </w:p>
    <w:p w14:paraId="462E174C">
      <w:pPr>
        <w:pStyle w:val="17"/>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报告出具单位：江苏标普检测科技有限公司</w:t>
      </w:r>
    </w:p>
    <w:p w14:paraId="2B6E6A79">
      <w:pPr>
        <w:pStyle w:val="17"/>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钻探单位：无锡润明检测技术服务有限公司、江苏丹枫环境技术有限公司</w:t>
      </w:r>
    </w:p>
    <w:p w14:paraId="72D2F308">
      <w:pPr>
        <w:pStyle w:val="17"/>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宋体"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检测单位：江苏格林勒斯检测科技有限公司</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5"/>
        <w:gridCol w:w="1154"/>
        <w:gridCol w:w="1258"/>
        <w:gridCol w:w="1430"/>
        <w:gridCol w:w="2442"/>
        <w:gridCol w:w="1013"/>
      </w:tblGrid>
      <w:tr w14:paraId="5FEF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6"/>
            <w:noWrap w:val="0"/>
            <w:vAlign w:val="center"/>
          </w:tcPr>
          <w:p w14:paraId="14A48C3A">
            <w:pPr>
              <w:keepNext w:val="0"/>
              <w:keepLines w:val="0"/>
              <w:pageBreakBefore w:val="0"/>
              <w:widowControl w:val="0"/>
              <w:tabs>
                <w:tab w:val="center" w:pos="4213"/>
                <w:tab w:val="left" w:pos="4983"/>
              </w:tabs>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rPr>
            </w:pPr>
            <w:r>
              <w:rPr>
                <w:rFonts w:hint="eastAsia" w:ascii="仿宋" w:hAnsi="仿宋" w:eastAsia="仿宋" w:cs="仿宋"/>
                <w:color w:val="auto"/>
                <w:lang w:val="en-US" w:eastAsia="zh-CN"/>
              </w:rPr>
              <w:t>人员信息表</w:t>
            </w:r>
          </w:p>
        </w:tc>
      </w:tr>
      <w:tr w14:paraId="0B02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9" w:type="pct"/>
            <w:noWrap w:val="0"/>
            <w:vAlign w:val="center"/>
          </w:tcPr>
          <w:p w14:paraId="0BD6CC3D">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职责</w:t>
            </w:r>
          </w:p>
        </w:tc>
        <w:tc>
          <w:tcPr>
            <w:tcW w:w="677" w:type="pct"/>
            <w:noWrap w:val="0"/>
            <w:vAlign w:val="center"/>
          </w:tcPr>
          <w:p w14:paraId="314979A4">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人员</w:t>
            </w:r>
          </w:p>
        </w:tc>
        <w:tc>
          <w:tcPr>
            <w:tcW w:w="738" w:type="pct"/>
            <w:noWrap w:val="0"/>
            <w:vAlign w:val="center"/>
          </w:tcPr>
          <w:p w14:paraId="72B1BED8">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专业</w:t>
            </w:r>
          </w:p>
        </w:tc>
        <w:tc>
          <w:tcPr>
            <w:tcW w:w="839" w:type="pct"/>
            <w:noWrap w:val="0"/>
            <w:vAlign w:val="center"/>
          </w:tcPr>
          <w:p w14:paraId="26B3AE67">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职称</w:t>
            </w:r>
          </w:p>
        </w:tc>
        <w:tc>
          <w:tcPr>
            <w:tcW w:w="1433" w:type="pct"/>
            <w:noWrap w:val="0"/>
            <w:vAlign w:val="center"/>
          </w:tcPr>
          <w:p w14:paraId="68CE3058">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身份证号及联系电话</w:t>
            </w:r>
          </w:p>
        </w:tc>
        <w:tc>
          <w:tcPr>
            <w:tcW w:w="591" w:type="pct"/>
            <w:noWrap w:val="0"/>
            <w:vAlign w:val="center"/>
          </w:tcPr>
          <w:p w14:paraId="573B1210">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签字</w:t>
            </w:r>
          </w:p>
        </w:tc>
      </w:tr>
      <w:tr w14:paraId="1C38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9" w:type="pct"/>
            <w:noWrap w:val="0"/>
            <w:vAlign w:val="center"/>
          </w:tcPr>
          <w:p w14:paraId="7AC32A50">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项目负责</w:t>
            </w:r>
          </w:p>
        </w:tc>
        <w:tc>
          <w:tcPr>
            <w:tcW w:w="677" w:type="pct"/>
            <w:noWrap w:val="0"/>
            <w:vAlign w:val="center"/>
          </w:tcPr>
          <w:p w14:paraId="3DF6A6CD">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沈琪</w:t>
            </w:r>
          </w:p>
        </w:tc>
        <w:tc>
          <w:tcPr>
            <w:tcW w:w="738" w:type="pct"/>
            <w:noWrap w:val="0"/>
            <w:vAlign w:val="center"/>
          </w:tcPr>
          <w:p w14:paraId="7724F710">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环境科学</w:t>
            </w:r>
          </w:p>
        </w:tc>
        <w:tc>
          <w:tcPr>
            <w:tcW w:w="839" w:type="pct"/>
            <w:noWrap w:val="0"/>
            <w:vAlign w:val="center"/>
          </w:tcPr>
          <w:p w14:paraId="73376E97">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工程师</w:t>
            </w:r>
          </w:p>
        </w:tc>
        <w:tc>
          <w:tcPr>
            <w:tcW w:w="1433" w:type="pct"/>
            <w:noWrap w:val="0"/>
            <w:vAlign w:val="center"/>
          </w:tcPr>
          <w:p w14:paraId="688C1069">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320602199310031023</w:t>
            </w:r>
          </w:p>
          <w:p w14:paraId="142E3C50">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18206293006</w:t>
            </w:r>
          </w:p>
        </w:tc>
        <w:tc>
          <w:tcPr>
            <w:tcW w:w="591" w:type="pct"/>
            <w:noWrap w:val="0"/>
            <w:vAlign w:val="center"/>
          </w:tcPr>
          <w:p w14:paraId="370EAD26">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r w14:paraId="134D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9" w:type="pct"/>
            <w:vMerge w:val="restart"/>
            <w:noWrap w:val="0"/>
            <w:vAlign w:val="center"/>
          </w:tcPr>
          <w:p w14:paraId="4B359C42">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现场踏勘</w:t>
            </w:r>
          </w:p>
        </w:tc>
        <w:tc>
          <w:tcPr>
            <w:tcW w:w="677" w:type="pct"/>
            <w:noWrap w:val="0"/>
            <w:vAlign w:val="center"/>
          </w:tcPr>
          <w:p w14:paraId="688C058D">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顾建亚</w:t>
            </w:r>
          </w:p>
        </w:tc>
        <w:tc>
          <w:tcPr>
            <w:tcW w:w="738" w:type="pct"/>
            <w:noWrap w:val="0"/>
            <w:vAlign w:val="center"/>
          </w:tcPr>
          <w:p w14:paraId="71C273F5">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环境工程</w:t>
            </w:r>
          </w:p>
        </w:tc>
        <w:tc>
          <w:tcPr>
            <w:tcW w:w="839" w:type="pct"/>
            <w:noWrap w:val="0"/>
            <w:vAlign w:val="center"/>
          </w:tcPr>
          <w:p w14:paraId="70C30306">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助理工程师</w:t>
            </w:r>
          </w:p>
        </w:tc>
        <w:tc>
          <w:tcPr>
            <w:tcW w:w="1433" w:type="pct"/>
            <w:noWrap w:val="0"/>
            <w:vAlign w:val="center"/>
          </w:tcPr>
          <w:p w14:paraId="1FDAD623">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320683199408273010</w:t>
            </w:r>
          </w:p>
          <w:p w14:paraId="0284034F">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19555031446</w:t>
            </w:r>
          </w:p>
        </w:tc>
        <w:tc>
          <w:tcPr>
            <w:tcW w:w="591" w:type="pct"/>
            <w:noWrap w:val="0"/>
            <w:vAlign w:val="center"/>
          </w:tcPr>
          <w:p w14:paraId="31EE2C72">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r w14:paraId="6264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9" w:type="pct"/>
            <w:vMerge w:val="continue"/>
            <w:noWrap w:val="0"/>
            <w:vAlign w:val="center"/>
          </w:tcPr>
          <w:p w14:paraId="1B4E0F4D">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p>
        </w:tc>
        <w:tc>
          <w:tcPr>
            <w:tcW w:w="677" w:type="pct"/>
            <w:noWrap w:val="0"/>
            <w:vAlign w:val="center"/>
          </w:tcPr>
          <w:p w14:paraId="3057C543">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黄敏霞</w:t>
            </w:r>
          </w:p>
        </w:tc>
        <w:tc>
          <w:tcPr>
            <w:tcW w:w="738" w:type="pct"/>
            <w:noWrap w:val="0"/>
            <w:vAlign w:val="center"/>
          </w:tcPr>
          <w:p w14:paraId="163291A7">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环境科学</w:t>
            </w:r>
          </w:p>
        </w:tc>
        <w:tc>
          <w:tcPr>
            <w:tcW w:w="839" w:type="pct"/>
            <w:noWrap w:val="0"/>
            <w:vAlign w:val="center"/>
          </w:tcPr>
          <w:p w14:paraId="43AE66E1">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助理工程师</w:t>
            </w:r>
          </w:p>
        </w:tc>
        <w:tc>
          <w:tcPr>
            <w:tcW w:w="1433" w:type="pct"/>
            <w:noWrap w:val="0"/>
            <w:vAlign w:val="center"/>
          </w:tcPr>
          <w:p w14:paraId="19FD5CF2">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320684199901120866</w:t>
            </w:r>
          </w:p>
          <w:p w14:paraId="6B7057ED">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19802585182</w:t>
            </w:r>
          </w:p>
        </w:tc>
        <w:tc>
          <w:tcPr>
            <w:tcW w:w="591" w:type="pct"/>
            <w:noWrap w:val="0"/>
            <w:vAlign w:val="center"/>
          </w:tcPr>
          <w:p w14:paraId="66779940">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r w14:paraId="49EB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9" w:type="pct"/>
            <w:noWrap w:val="0"/>
            <w:vAlign w:val="center"/>
          </w:tcPr>
          <w:p w14:paraId="1BF4EF8D">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数据分析</w:t>
            </w:r>
          </w:p>
          <w:p w14:paraId="6CCAF1E4">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报告编制</w:t>
            </w:r>
          </w:p>
        </w:tc>
        <w:tc>
          <w:tcPr>
            <w:tcW w:w="677" w:type="pct"/>
            <w:noWrap w:val="0"/>
            <w:vAlign w:val="center"/>
          </w:tcPr>
          <w:p w14:paraId="468F5E8C">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陆天悦</w:t>
            </w:r>
          </w:p>
        </w:tc>
        <w:tc>
          <w:tcPr>
            <w:tcW w:w="738" w:type="pct"/>
            <w:noWrap w:val="0"/>
            <w:vAlign w:val="center"/>
          </w:tcPr>
          <w:p w14:paraId="5E286B64">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环境工程</w:t>
            </w:r>
          </w:p>
        </w:tc>
        <w:tc>
          <w:tcPr>
            <w:tcW w:w="839" w:type="pct"/>
            <w:noWrap w:val="0"/>
            <w:vAlign w:val="center"/>
          </w:tcPr>
          <w:p w14:paraId="60FA5F4A">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助理工程师</w:t>
            </w:r>
          </w:p>
        </w:tc>
        <w:tc>
          <w:tcPr>
            <w:tcW w:w="1433" w:type="pct"/>
            <w:noWrap w:val="0"/>
            <w:vAlign w:val="center"/>
          </w:tcPr>
          <w:p w14:paraId="4B28CE34">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320611200011251829</w:t>
            </w:r>
          </w:p>
          <w:p w14:paraId="21177BB0">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18862934712</w:t>
            </w:r>
          </w:p>
        </w:tc>
        <w:tc>
          <w:tcPr>
            <w:tcW w:w="591" w:type="pct"/>
            <w:noWrap w:val="0"/>
            <w:vAlign w:val="center"/>
          </w:tcPr>
          <w:p w14:paraId="3B65F5EA">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r w14:paraId="75FC4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9" w:type="pct"/>
            <w:noWrap w:val="0"/>
            <w:vAlign w:val="center"/>
          </w:tcPr>
          <w:p w14:paraId="4D39DE7A">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报告复核</w:t>
            </w:r>
          </w:p>
        </w:tc>
        <w:tc>
          <w:tcPr>
            <w:tcW w:w="677" w:type="pct"/>
            <w:noWrap w:val="0"/>
            <w:vAlign w:val="center"/>
          </w:tcPr>
          <w:p w14:paraId="3DCC5994">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沈琪</w:t>
            </w:r>
          </w:p>
        </w:tc>
        <w:tc>
          <w:tcPr>
            <w:tcW w:w="738" w:type="pct"/>
            <w:noWrap w:val="0"/>
            <w:vAlign w:val="center"/>
          </w:tcPr>
          <w:p w14:paraId="1BD8F8D9">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环境科学</w:t>
            </w:r>
          </w:p>
        </w:tc>
        <w:tc>
          <w:tcPr>
            <w:tcW w:w="839" w:type="pct"/>
            <w:noWrap w:val="0"/>
            <w:vAlign w:val="center"/>
          </w:tcPr>
          <w:p w14:paraId="0FD4C867">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工程师</w:t>
            </w:r>
          </w:p>
        </w:tc>
        <w:tc>
          <w:tcPr>
            <w:tcW w:w="1433" w:type="pct"/>
            <w:noWrap w:val="0"/>
            <w:vAlign w:val="center"/>
          </w:tcPr>
          <w:p w14:paraId="074BF30E">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320602199310031023</w:t>
            </w:r>
          </w:p>
          <w:p w14:paraId="7CECCD6D">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18206293006</w:t>
            </w:r>
          </w:p>
        </w:tc>
        <w:tc>
          <w:tcPr>
            <w:tcW w:w="591" w:type="pct"/>
            <w:noWrap w:val="0"/>
            <w:vAlign w:val="center"/>
          </w:tcPr>
          <w:p w14:paraId="3296D81F">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rPr>
            </w:pPr>
          </w:p>
        </w:tc>
      </w:tr>
      <w:tr w14:paraId="6DB54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9" w:type="pct"/>
            <w:noWrap w:val="0"/>
            <w:vAlign w:val="center"/>
          </w:tcPr>
          <w:p w14:paraId="0DBD4935">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报告审核</w:t>
            </w:r>
          </w:p>
        </w:tc>
        <w:tc>
          <w:tcPr>
            <w:tcW w:w="677" w:type="pct"/>
            <w:noWrap w:val="0"/>
            <w:vAlign w:val="center"/>
          </w:tcPr>
          <w:p w14:paraId="05CD0C36">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徐俊</w:t>
            </w:r>
          </w:p>
        </w:tc>
        <w:tc>
          <w:tcPr>
            <w:tcW w:w="738" w:type="pct"/>
            <w:noWrap w:val="0"/>
            <w:vAlign w:val="center"/>
          </w:tcPr>
          <w:p w14:paraId="7EE41787">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环境工程</w:t>
            </w:r>
          </w:p>
        </w:tc>
        <w:tc>
          <w:tcPr>
            <w:tcW w:w="839" w:type="pct"/>
            <w:noWrap w:val="0"/>
            <w:vAlign w:val="center"/>
          </w:tcPr>
          <w:p w14:paraId="35A3E872">
            <w:pPr>
              <w:pStyle w:val="1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研究员级高级工程师</w:t>
            </w:r>
          </w:p>
        </w:tc>
        <w:tc>
          <w:tcPr>
            <w:tcW w:w="1433" w:type="pct"/>
            <w:noWrap w:val="0"/>
            <w:vAlign w:val="center"/>
          </w:tcPr>
          <w:p w14:paraId="4129C5E3">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320622197312170197</w:t>
            </w:r>
          </w:p>
          <w:p w14:paraId="7D15E35F">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13862734560</w:t>
            </w:r>
          </w:p>
        </w:tc>
        <w:tc>
          <w:tcPr>
            <w:tcW w:w="591" w:type="pct"/>
            <w:noWrap w:val="0"/>
            <w:vAlign w:val="center"/>
          </w:tcPr>
          <w:p w14:paraId="3EE0CC40">
            <w:pPr>
              <w:pStyle w:val="1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bl>
    <w:p w14:paraId="3B6BF5AD">
      <w:pPr>
        <w:pStyle w:val="2"/>
        <w:rPr>
          <w:rFonts w:hint="eastAsia"/>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2307536B">
      <w:pPr>
        <w:pStyle w:val="4"/>
        <w:rPr>
          <w:rFonts w:hint="eastAsia" w:ascii="仿宋" w:hAnsi="仿宋" w:eastAsia="仿宋" w:cs="仿宋"/>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5E329ED4">
      <w:pPr>
        <w:bidi w:val="0"/>
        <w:ind w:left="0" w:leftChars="0" w:firstLine="0" w:firstLineChars="0"/>
        <w:jc w:val="center"/>
        <w:outlineLvl w:val="0"/>
        <w:rPr>
          <w:rFonts w:hint="eastAsia" w:ascii="仿宋" w:hAnsi="仿宋" w:eastAsia="仿宋" w:cs="仿宋"/>
          <w:b/>
          <w:bCs/>
          <w:color w:val="auto"/>
          <w:sz w:val="48"/>
          <w:szCs w:val="36"/>
          <w:lang w:val="en-US" w:eastAsia="zh-CN"/>
        </w:rPr>
      </w:pPr>
      <w:bookmarkStart w:id="6" w:name="_Toc17845"/>
      <w:bookmarkStart w:id="7" w:name="_Toc25350"/>
      <w:bookmarkStart w:id="8" w:name="_Toc28537"/>
      <w:bookmarkStart w:id="9" w:name="_Toc32371"/>
      <w:r>
        <w:rPr>
          <w:rFonts w:hint="eastAsia" w:ascii="仿宋" w:hAnsi="仿宋" w:eastAsia="仿宋" w:cs="仿宋"/>
          <w:b/>
          <w:bCs/>
          <w:color w:val="auto"/>
          <w:sz w:val="48"/>
          <w:szCs w:val="36"/>
          <w:lang w:val="en-US" w:eastAsia="zh-CN"/>
        </w:rPr>
        <w:t>摘 要</w:t>
      </w:r>
      <w:bookmarkEnd w:id="6"/>
      <w:bookmarkEnd w:id="7"/>
      <w:bookmarkEnd w:id="8"/>
      <w:bookmarkEnd w:id="9"/>
    </w:p>
    <w:p w14:paraId="487DD2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如皋城西片区一期广福路北、花城大道东（319#B）地块位于南通如皋市。地块东至志颐路，西至花城大道，南至广福路（规划路），北至如泰运河，本次调查地块总占地面积89220m</w:t>
      </w:r>
      <w:r>
        <w:rPr>
          <w:rFonts w:hint="eastAsia" w:ascii="仿宋" w:hAnsi="仿宋" w:eastAsia="仿宋" w:cs="仿宋"/>
          <w:color w:val="auto"/>
          <w:sz w:val="24"/>
          <w:szCs w:val="24"/>
          <w:vertAlign w:val="superscript"/>
          <w:lang w:val="en-US" w:eastAsia="zh-CN"/>
        </w:rPr>
        <w:t>2</w:t>
      </w:r>
      <w:r>
        <w:rPr>
          <w:rFonts w:hint="eastAsia" w:ascii="仿宋" w:hAnsi="仿宋" w:eastAsia="仿宋" w:cs="仿宋"/>
          <w:color w:val="auto"/>
          <w:sz w:val="24"/>
          <w:szCs w:val="24"/>
          <w:lang w:val="en-US" w:eastAsia="zh-CN"/>
        </w:rPr>
        <w:t>（约133.83亩）。</w:t>
      </w:r>
    </w:p>
    <w:p w14:paraId="5840A03C">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（1）地块内当前及历史企业情况</w:t>
      </w:r>
    </w:p>
    <w:p w14:paraId="7550AC4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结合卫星影像及人员访谈得知，根据调查情况，地块早期为农田，1990年至2022年一直是宅基地、生产厂房。地块内构筑物于2022年拆除，目前为开放状态，土壤有受到人为扰动的可能。本次调查地块历史功能用途复杂，涉及工业生产、商业、住宅等多种功能区。根据人员走访、历史影像资料，本次调查根据地块历史用途将其分为生产区和非生产区。生产区曾存在如皋市北方燃料有限公司、南通市俞氏太阳能热水器有限公司、新华书店储运中心、如皋市天天友缘太阳能热水器厂、逸仙（钢管租赁）、如皋市东皋酱菜厂、如皋市白沙生物制品有限公司、如皋市吕德高服饰经营部、不锈钢门窗厂；非生产区域一直为村民宅基地、沿街商铺，此区域无生产、使用、贮存、回收、处置有毒有害物质的情况，也无固废危废堆放、填埋的污染事故，但邻近生产区域的非生产区域的土壤和地下水易受到生产活动的影响。该地块内企业无重点行业企业，且未开展过土壤和地下水检测工作，未查询到环保相关的行政处罚。</w:t>
      </w:r>
    </w:p>
    <w:p w14:paraId="6B591C14">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（2）地块周边当前及历史企业情况</w:t>
      </w:r>
    </w:p>
    <w:p w14:paraId="446241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调查地块周围500m范围内的敏感目标为地表水和住宅。最近的企业为东侧40m处的如皋市纺纱工艺品厂，不涉及生产，主要堆放工艺品；最近的生产型企业是北侧80m处的如皋市恒丰染整有限公司,地块周边还存在两家重点行业企业，分别为如皋弘森染丝线厂、如皋市莱思染整有限公司，风险关注度等级均为中度，企业已开展过土壤污染状况调查工作。根据收集到的《如皋城西片区一期西部志颐路东、如泰运河南地块土壤污染状况调查报告》（含如皋市莱思染整有限公司、如皋市弘森染丝线厂、如皋市绢纺厂、江苏大地蓝绢纺织有限公司、如皋市诗图纺织有限公司地块，报告已于</w:t>
      </w:r>
      <w:r>
        <w:rPr>
          <w:rFonts w:hint="default" w:ascii="仿宋" w:hAnsi="仿宋" w:eastAsia="仿宋" w:cs="仿宋"/>
          <w:color w:val="auto"/>
          <w:sz w:val="24"/>
          <w:szCs w:val="24"/>
          <w:lang w:val="en-US" w:eastAsia="zh-CN"/>
        </w:rPr>
        <w:t>2024</w:t>
      </w:r>
      <w:r>
        <w:rPr>
          <w:rFonts w:hint="eastAsia" w:ascii="仿宋" w:hAnsi="仿宋" w:eastAsia="仿宋" w:cs="仿宋"/>
          <w:color w:val="auto"/>
          <w:sz w:val="24"/>
          <w:szCs w:val="24"/>
          <w:lang w:val="en-US" w:eastAsia="zh-CN"/>
        </w:rPr>
        <w:t>年7月3日通过专家复核并备案），主要结论为：如皋城西片区一期西部志颐路东、如泰运河南地块不属于污染地块，无需进行进一步调查，地块符合GB36600中一类用地筛选值要求，可按照规划用于居住用地（R21）、道路用地、公园绿地（G1）、防护绿地（G2）、商业用地（B1）建设。</w:t>
      </w:r>
    </w:p>
    <w:p w14:paraId="117AFE0D">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（3）项目由来及准备工作</w:t>
      </w:r>
    </w:p>
    <w:p w14:paraId="35FCA3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default"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本次调查范围内</w:t>
      </w:r>
      <w:r>
        <w:rPr>
          <w:rFonts w:hint="default" w:ascii="仿宋" w:hAnsi="仿宋" w:eastAsia="仿宋" w:cs="仿宋"/>
          <w:b w:val="0"/>
          <w:bCs w:val="0"/>
          <w:color w:val="auto"/>
          <w:sz w:val="24"/>
          <w:szCs w:val="32"/>
          <w:lang w:val="en-US" w:eastAsia="zh-CN"/>
        </w:rPr>
        <w:t>用地性质为</w:t>
      </w:r>
      <w:r>
        <w:rPr>
          <w:rFonts w:hint="eastAsia" w:ascii="仿宋" w:hAnsi="仿宋" w:eastAsia="仿宋" w:cs="仿宋"/>
          <w:b w:val="0"/>
          <w:bCs w:val="0"/>
          <w:color w:val="auto"/>
          <w:sz w:val="24"/>
          <w:szCs w:val="32"/>
          <w:lang w:val="en-US" w:eastAsia="zh-CN"/>
        </w:rPr>
        <w:t>集体用地、住宅（宅基地）、工业用地等</w:t>
      </w:r>
      <w:r>
        <w:rPr>
          <w:rFonts w:hint="default" w:ascii="仿宋" w:hAnsi="仿宋" w:eastAsia="仿宋" w:cs="仿宋"/>
          <w:b w:val="0"/>
          <w:bCs w:val="0"/>
          <w:color w:val="auto"/>
          <w:sz w:val="24"/>
          <w:szCs w:val="32"/>
          <w:lang w:val="en-US" w:eastAsia="zh-CN"/>
        </w:rPr>
        <w:t>。根据《</w:t>
      </w:r>
      <w:r>
        <w:rPr>
          <w:rFonts w:hint="eastAsia" w:ascii="仿宋" w:hAnsi="仿宋" w:eastAsia="仿宋" w:cs="仿宋"/>
          <w:b w:val="0"/>
          <w:bCs w:val="0"/>
          <w:color w:val="auto"/>
          <w:sz w:val="24"/>
          <w:szCs w:val="32"/>
          <w:lang w:val="en-US" w:eastAsia="zh-CN"/>
        </w:rPr>
        <w:t>如皋市西片区控制性详细规划（2021.12）</w:t>
      </w:r>
      <w:r>
        <w:rPr>
          <w:rFonts w:hint="default" w:ascii="仿宋" w:hAnsi="仿宋" w:eastAsia="仿宋" w:cs="仿宋"/>
          <w:b w:val="0"/>
          <w:bCs w:val="0"/>
          <w:color w:val="auto"/>
          <w:sz w:val="24"/>
          <w:szCs w:val="32"/>
          <w:lang w:val="en-US" w:eastAsia="zh-CN"/>
        </w:rPr>
        <w:t>》，该地块未来规划为</w:t>
      </w:r>
      <w:r>
        <w:rPr>
          <w:rFonts w:hint="eastAsia" w:ascii="仿宋" w:hAnsi="仿宋" w:eastAsia="仿宋" w:cs="仿宋"/>
          <w:b w:val="0"/>
          <w:bCs w:val="0"/>
          <w:color w:val="auto"/>
          <w:sz w:val="24"/>
          <w:szCs w:val="32"/>
          <w:lang w:val="en-US" w:eastAsia="zh-CN"/>
        </w:rPr>
        <w:t>居住用地（R21）、商业服务业设施用地（B1）、幼托用地（Rax）、道路用地、公园绿地（G1）。本次调查范围内地块未来规划涉及第一类用地及第二类用地，</w:t>
      </w:r>
      <w:r>
        <w:rPr>
          <w:rFonts w:hint="default" w:ascii="仿宋" w:hAnsi="仿宋" w:eastAsia="仿宋" w:cs="仿宋"/>
          <w:b w:val="0"/>
          <w:bCs w:val="0"/>
          <w:color w:val="auto"/>
          <w:sz w:val="24"/>
          <w:szCs w:val="32"/>
          <w:lang w:val="en-US" w:eastAsia="zh-CN"/>
        </w:rPr>
        <w:t>因道路、公园绿地</w:t>
      </w:r>
      <w:r>
        <w:rPr>
          <w:rFonts w:hint="eastAsia" w:ascii="仿宋" w:hAnsi="仿宋" w:eastAsia="仿宋" w:cs="仿宋"/>
          <w:b w:val="0"/>
          <w:bCs w:val="0"/>
          <w:color w:val="auto"/>
          <w:sz w:val="24"/>
          <w:szCs w:val="32"/>
          <w:lang w:val="en-US" w:eastAsia="zh-CN"/>
        </w:rPr>
        <w:t>、商业用地</w:t>
      </w:r>
      <w:r>
        <w:rPr>
          <w:rFonts w:hint="default" w:ascii="仿宋" w:hAnsi="仿宋" w:eastAsia="仿宋" w:cs="仿宋"/>
          <w:b w:val="0"/>
          <w:bCs w:val="0"/>
          <w:color w:val="auto"/>
          <w:sz w:val="24"/>
          <w:szCs w:val="32"/>
          <w:lang w:val="en-US" w:eastAsia="zh-CN"/>
        </w:rPr>
        <w:t>占总调查范围的比例较小，</w:t>
      </w:r>
      <w:r>
        <w:rPr>
          <w:rFonts w:hint="eastAsia" w:ascii="仿宋" w:hAnsi="仿宋" w:eastAsia="仿宋" w:cs="仿宋"/>
          <w:b w:val="0"/>
          <w:bCs w:val="0"/>
          <w:color w:val="auto"/>
          <w:sz w:val="24"/>
          <w:szCs w:val="32"/>
          <w:lang w:val="en-US" w:eastAsia="zh-CN"/>
        </w:rPr>
        <w:t>因此本次调查评价标准将从严执行，统一按</w:t>
      </w:r>
      <w:r>
        <w:rPr>
          <w:rFonts w:hint="default" w:ascii="仿宋" w:hAnsi="仿宋" w:eastAsia="仿宋" w:cs="仿宋"/>
          <w:b w:val="0"/>
          <w:bCs w:val="0"/>
          <w:color w:val="auto"/>
          <w:sz w:val="24"/>
          <w:szCs w:val="32"/>
          <w:lang w:val="en-US" w:eastAsia="zh-CN"/>
        </w:rPr>
        <w:t>《土壤环境质量 建设用地土壤污染风险管控标准（试行）》（GB36600-2018）</w:t>
      </w:r>
      <w:r>
        <w:rPr>
          <w:rFonts w:hint="eastAsia" w:ascii="仿宋" w:hAnsi="仿宋" w:eastAsia="仿宋" w:cs="仿宋"/>
          <w:b w:val="0"/>
          <w:bCs w:val="0"/>
          <w:color w:val="auto"/>
          <w:sz w:val="24"/>
          <w:szCs w:val="32"/>
          <w:lang w:val="en-US" w:eastAsia="zh-CN"/>
        </w:rPr>
        <w:t>中第一类用地评价标准进行评价。</w:t>
      </w:r>
      <w:r>
        <w:rPr>
          <w:rFonts w:hint="default" w:ascii="仿宋" w:hAnsi="仿宋" w:eastAsia="仿宋" w:cs="仿宋"/>
          <w:b w:val="0"/>
          <w:bCs w:val="0"/>
          <w:color w:val="auto"/>
          <w:sz w:val="24"/>
          <w:szCs w:val="32"/>
          <w:lang w:val="en-US" w:eastAsia="zh-CN"/>
        </w:rPr>
        <w:t>根据《中华人民共和国土壤污染防治法》第五十九条：用途变更为住宅、公共管理与公共服务用地的，变更前应当按照规定进行土壤污染状况调查。</w:t>
      </w:r>
    </w:p>
    <w:p w14:paraId="7E2C28D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因此，如皋市西片区综合开发有限公司委托江苏标普检测科技有限公司（以下简称“我司”）对</w:t>
      </w:r>
      <w:r>
        <w:rPr>
          <w:rFonts w:hint="eastAsia" w:ascii="仿宋" w:hAnsi="仿宋" w:eastAsia="仿宋" w:cs="仿宋"/>
          <w:b w:val="0"/>
          <w:bCs w:val="0"/>
          <w:color w:val="auto"/>
          <w:sz w:val="24"/>
          <w:szCs w:val="32"/>
          <w:lang w:val="en-US" w:eastAsia="zh-CN"/>
        </w:rPr>
        <w:t>如皋城西片区一期广福路北、花城大道东（319#B）地块</w:t>
      </w:r>
      <w:r>
        <w:rPr>
          <w:rFonts w:hint="eastAsia" w:ascii="仿宋" w:hAnsi="仿宋" w:eastAsia="仿宋" w:cs="仿宋"/>
          <w:color w:val="auto"/>
          <w:sz w:val="24"/>
          <w:szCs w:val="24"/>
          <w:lang w:val="en-US" w:eastAsia="zh-CN"/>
        </w:rPr>
        <w:t>土壤污染状况进行调查。我司组织项目组成员对调查地块进行现场踏勘、调查，收集了有关资料，并委托</w:t>
      </w:r>
      <w:r>
        <w:rPr>
          <w:rFonts w:hint="eastAsia" w:ascii="仿宋" w:hAnsi="仿宋" w:eastAsia="仿宋" w:cs="仿宋"/>
          <w:b w:val="0"/>
          <w:bCs/>
          <w:color w:val="auto"/>
          <w:kern w:val="2"/>
          <w:sz w:val="24"/>
          <w:szCs w:val="24"/>
          <w:vertAlign w:val="baseline"/>
          <w:lang w:val="en-US" w:eastAsia="zh-CN" w:bidi="ar-SA"/>
        </w:rPr>
        <w:t>无锡润明检测技术服务有限公司、江苏丹枫环境技术有限公司</w:t>
      </w:r>
      <w:r>
        <w:rPr>
          <w:rFonts w:hint="eastAsia" w:ascii="仿宋" w:hAnsi="仿宋" w:eastAsia="仿宋" w:cs="仿宋"/>
          <w:color w:val="auto"/>
          <w:sz w:val="24"/>
          <w:szCs w:val="24"/>
          <w:lang w:val="en-US" w:eastAsia="zh-CN"/>
        </w:rPr>
        <w:t>进行现场钻探取样工作。样品集采及样品检测分析由</w:t>
      </w:r>
      <w:r>
        <w:rPr>
          <w:rFonts w:hint="eastAsia" w:ascii="仿宋" w:hAnsi="仿宋" w:eastAsia="仿宋" w:cs="仿宋"/>
          <w:b w:val="0"/>
          <w:bCs/>
          <w:color w:val="auto"/>
          <w:kern w:val="2"/>
          <w:sz w:val="24"/>
          <w:szCs w:val="24"/>
          <w:vertAlign w:val="baseline"/>
          <w:lang w:val="en-US" w:eastAsia="zh-CN" w:bidi="ar-SA"/>
        </w:rPr>
        <w:t>江苏格林勒斯检测科技有限公司</w:t>
      </w:r>
      <w:r>
        <w:rPr>
          <w:rFonts w:hint="eastAsia" w:ascii="仿宋" w:hAnsi="仿宋" w:eastAsia="仿宋" w:cs="仿宋"/>
          <w:color w:val="auto"/>
          <w:sz w:val="24"/>
          <w:szCs w:val="24"/>
          <w:lang w:val="en-US" w:eastAsia="zh-CN"/>
        </w:rPr>
        <w:t>（具有CMA资质）负责。</w:t>
      </w:r>
    </w:p>
    <w:p w14:paraId="01741602">
      <w:pPr>
        <w:pStyle w:val="4"/>
        <w:keepNext w:val="0"/>
        <w:keepLines w:val="0"/>
        <w:pageBreakBefore w:val="0"/>
        <w:widowControl w:val="0"/>
        <w:numPr>
          <w:ilvl w:val="0"/>
          <w:numId w:val="0"/>
        </w:numPr>
        <w:kinsoku/>
        <w:wordWrap/>
        <w:overflowPunct/>
        <w:topLinePunct w:val="0"/>
        <w:autoSpaceDE/>
        <w:autoSpaceDN/>
        <w:bidi w:val="0"/>
        <w:adjustRightInd/>
        <w:snapToGrid/>
        <w:spacing w:after="0" w:afterLines="0"/>
        <w:ind w:left="480" w:leftChars="0"/>
        <w:textAlignment w:val="auto"/>
        <w:outlineLvl w:val="9"/>
        <w:rPr>
          <w:rFonts w:hint="eastAsia" w:ascii="仿宋" w:hAnsi="仿宋" w:eastAsia="仿宋" w:cs="仿宋"/>
          <w:b/>
          <w:bCs/>
          <w:color w:val="auto"/>
          <w:sz w:val="24"/>
          <w:szCs w:val="24"/>
          <w:lang w:val="en-US" w:eastAsia="zh-CN"/>
        </w:rPr>
      </w:pPr>
      <w:bookmarkStart w:id="10" w:name="_Toc5347"/>
      <w:bookmarkStart w:id="11" w:name="_Toc249"/>
      <w:r>
        <w:rPr>
          <w:rFonts w:hint="eastAsia" w:ascii="仿宋" w:hAnsi="仿宋" w:eastAsia="仿宋" w:cs="仿宋"/>
          <w:b/>
          <w:bCs/>
          <w:color w:val="auto"/>
          <w:sz w:val="24"/>
          <w:szCs w:val="24"/>
          <w:lang w:val="en-US" w:eastAsia="zh-CN"/>
        </w:rPr>
        <w:t>一、第一阶段土壤污染状况调查</w:t>
      </w:r>
      <w:bookmarkEnd w:id="10"/>
      <w:bookmarkEnd w:id="11"/>
    </w:p>
    <w:p w14:paraId="424B18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color w:val="auto"/>
          <w:sz w:val="24"/>
          <w:szCs w:val="24"/>
          <w:lang w:val="en-US" w:eastAsia="zh-CN"/>
        </w:rPr>
        <w:t>第一</w:t>
      </w:r>
      <w:r>
        <w:rPr>
          <w:rFonts w:hint="eastAsia" w:ascii="仿宋" w:hAnsi="仿宋" w:eastAsia="仿宋" w:cs="仿宋"/>
          <w:b w:val="0"/>
          <w:bCs w:val="0"/>
          <w:color w:val="auto"/>
          <w:sz w:val="24"/>
          <w:szCs w:val="32"/>
          <w:lang w:val="en-US" w:eastAsia="zh-CN"/>
        </w:rPr>
        <w:t>阶段调查工作开展时间为2023年7月5日，根据调查情况，本次调查地块早期为农田。根据地块历史用途，本次调查将地块分为生产区域和非生产区域。生产区曾存在如皋市北方燃料有限公司、南通市俞氏太阳能热水器有限公司、新华书店储运中心、如皋市天天友缘太阳能热水器厂、逸仙（钢管租赁）、如皋市东皋酱菜厂、如皋市白沙生物制品有限公司、如皋市吕德高服饰经营部、不锈钢门窗厂；非生产区域一直为村民宅基地、沿街商铺。2022年拆除构筑物后，地块闲置至今，其中原不锈钢门窗厂经营部未拆除，该构筑物曾不属于生产区，仅用于不锈钢门窗的销售，且未来规划为绿化道路，现已停业。</w:t>
      </w:r>
    </w:p>
    <w:p w14:paraId="41E583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b w:val="0"/>
          <w:bCs w:val="0"/>
          <w:color w:val="auto"/>
          <w:sz w:val="24"/>
          <w:szCs w:val="32"/>
          <w:lang w:val="en-US" w:eastAsia="zh-CN"/>
        </w:rPr>
        <w:t>根据调查结果，地块内企业在产时涉及的潜在污染因子有</w:t>
      </w:r>
      <w:r>
        <w:rPr>
          <w:rFonts w:hint="eastAsia" w:ascii="仿宋" w:hAnsi="仿宋" w:eastAsia="仿宋" w:cs="仿宋"/>
          <w:b w:val="0"/>
          <w:bCs w:val="0"/>
          <w:color w:val="auto"/>
          <w:kern w:val="2"/>
          <w:sz w:val="24"/>
          <w:szCs w:val="24"/>
          <w:lang w:val="en-US" w:eastAsia="zh-CN" w:bidi="ar-SA"/>
        </w:rPr>
        <w:t>pH、色度、氨氮、耗氧量、硫化物、氯化物、硫酸盐、锑、苯胺类及联苯胺类、三氯苯、三溴甲烷、石油烃（C</w:t>
      </w:r>
      <w:r>
        <w:rPr>
          <w:rFonts w:hint="eastAsia" w:ascii="仿宋" w:hAnsi="仿宋" w:eastAsia="仿宋" w:cs="仿宋"/>
          <w:b w:val="0"/>
          <w:bCs w:val="0"/>
          <w:color w:val="auto"/>
          <w:kern w:val="2"/>
          <w:sz w:val="24"/>
          <w:szCs w:val="24"/>
          <w:vertAlign w:val="subscript"/>
          <w:lang w:val="en-US" w:eastAsia="zh-CN" w:bidi="ar-SA"/>
        </w:rPr>
        <w:t>10</w:t>
      </w:r>
      <w:r>
        <w:rPr>
          <w:rFonts w:hint="eastAsia" w:ascii="仿宋" w:hAnsi="仿宋" w:eastAsia="仿宋" w:cs="仿宋"/>
          <w:b w:val="0"/>
          <w:bCs w:val="0"/>
          <w:color w:val="auto"/>
          <w:kern w:val="2"/>
          <w:sz w:val="24"/>
          <w:szCs w:val="24"/>
          <w:lang w:val="en-US" w:eastAsia="zh-CN" w:bidi="ar-SA"/>
        </w:rPr>
        <w:t>-C</w:t>
      </w:r>
      <w:r>
        <w:rPr>
          <w:rFonts w:hint="eastAsia" w:ascii="仿宋" w:hAnsi="仿宋" w:eastAsia="仿宋" w:cs="仿宋"/>
          <w:b w:val="0"/>
          <w:bCs w:val="0"/>
          <w:color w:val="auto"/>
          <w:kern w:val="2"/>
          <w:sz w:val="24"/>
          <w:szCs w:val="24"/>
          <w:vertAlign w:val="subscript"/>
          <w:lang w:val="en-US" w:eastAsia="zh-CN" w:bidi="ar-SA"/>
        </w:rPr>
        <w:t>40</w:t>
      </w:r>
      <w:r>
        <w:rPr>
          <w:rFonts w:hint="eastAsia" w:ascii="仿宋" w:hAnsi="仿宋" w:eastAsia="仿宋" w:cs="仿宋"/>
          <w:b w:val="0"/>
          <w:bCs w:val="0"/>
          <w:color w:val="auto"/>
          <w:kern w:val="2"/>
          <w:sz w:val="24"/>
          <w:szCs w:val="24"/>
          <w:lang w:val="en-US" w:eastAsia="zh-CN" w:bidi="ar-SA"/>
        </w:rPr>
        <w:t>）、AOX、汞、六价铬、铅、砷、氟化物、苯并[a]芘、苯并[a]蒽、苯并[b]荧蒽、苯并[k]荧蒽、二苯并[a,h]蔥、茚并[1,2,3-cd]芘、丙烯酸乙酯、苯、甲苯、二甲苯、甲醛、三乙胺等。</w:t>
      </w:r>
    </w:p>
    <w:p w14:paraId="27B305B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调查地块周围500m范围内的敏感目标为地表水、居民区、学校等。本次调查地块相邻地块当前和历史上一直为道路、农田或居民区；周边500m范围内当前和历史上存在多家企业，主要为纺织印染企业、机械加工企业、化工企业等，距离本次调查地块最近的企业为地块东侧40米处的如皋市纺纱工艺品厂。该企业不涉及生产，主要堆放工艺品。最近的生产型企业是北侧80m处的如皋市恒丰染整有限公司，</w:t>
      </w:r>
      <w:r>
        <w:rPr>
          <w:rFonts w:hint="eastAsia" w:ascii="仿宋" w:hAnsi="仿宋" w:eastAsia="仿宋" w:cs="仿宋"/>
          <w:b w:val="0"/>
          <w:bCs w:val="0"/>
          <w:color w:val="auto"/>
          <w:kern w:val="2"/>
          <w:sz w:val="24"/>
          <w:szCs w:val="24"/>
          <w:lang w:val="en-US" w:eastAsia="zh-CN" w:bidi="ar-SA"/>
        </w:rPr>
        <w:t>本次调查地块周边地块主要的潜在污染因子主要为pH、色度、阴离子表面活性剂、氨氮、耗氧量、硫化物、氯化物、氟化物、氰化物、硝酸盐、亚硝酸盐、硫酸盐、汞、镍、砷、铅、锑、六价铬、锌、硒、锡、硼、甲苯、二甲苯、丙酮、甲醛、甲醇、乙醇、苯酚、间-甲酚、邻苯二酚、苯胺及联苯胺类、三氯苯、三溴甲烷、AOX、苯并[a]芘、苯并[a]蒽、苯并[b]荧蒽、苯并[k荧蒽、二苯并[a,h]蔥、茚并[1,2,3-cd]芘、二丙二醇甲醚、二丙二醇丁醚、</w:t>
      </w:r>
      <w:r>
        <w:rPr>
          <w:rFonts w:hint="default" w:ascii="仿宋" w:hAnsi="仿宋" w:eastAsia="仿宋" w:cs="仿宋"/>
          <w:b w:val="0"/>
          <w:bCs w:val="0"/>
          <w:color w:val="auto"/>
          <w:kern w:val="2"/>
          <w:sz w:val="24"/>
          <w:szCs w:val="24"/>
          <w:lang w:val="en-US" w:eastAsia="zh-CN" w:bidi="ar-SA"/>
        </w:rPr>
        <w:t>二甲基甲酰胺</w:t>
      </w:r>
      <w:r>
        <w:rPr>
          <w:rFonts w:hint="eastAsia" w:ascii="仿宋" w:hAnsi="仿宋" w:eastAsia="仿宋" w:cs="仿宋"/>
          <w:b w:val="0"/>
          <w:bCs w:val="0"/>
          <w:color w:val="auto"/>
          <w:kern w:val="2"/>
          <w:sz w:val="24"/>
          <w:szCs w:val="24"/>
          <w:lang w:val="en-US" w:eastAsia="zh-CN" w:bidi="ar-SA"/>
        </w:rPr>
        <w:t>、石油烃（C</w:t>
      </w:r>
      <w:r>
        <w:rPr>
          <w:rFonts w:hint="eastAsia" w:ascii="仿宋" w:hAnsi="仿宋" w:eastAsia="仿宋" w:cs="仿宋"/>
          <w:b w:val="0"/>
          <w:bCs w:val="0"/>
          <w:color w:val="auto"/>
          <w:kern w:val="2"/>
          <w:sz w:val="24"/>
          <w:szCs w:val="24"/>
          <w:vertAlign w:val="subscript"/>
          <w:lang w:val="en-US" w:eastAsia="zh-CN" w:bidi="ar-SA"/>
        </w:rPr>
        <w:t>6</w:t>
      </w:r>
      <w:r>
        <w:rPr>
          <w:rFonts w:hint="eastAsia" w:ascii="仿宋" w:hAnsi="仿宋" w:eastAsia="仿宋" w:cs="仿宋"/>
          <w:b w:val="0"/>
          <w:bCs w:val="0"/>
          <w:color w:val="auto"/>
          <w:kern w:val="2"/>
          <w:sz w:val="24"/>
          <w:szCs w:val="24"/>
          <w:lang w:val="en-US" w:eastAsia="zh-CN" w:bidi="ar-SA"/>
        </w:rPr>
        <w:t>-C</w:t>
      </w:r>
      <w:r>
        <w:rPr>
          <w:rFonts w:hint="eastAsia" w:ascii="仿宋" w:hAnsi="仿宋" w:eastAsia="仿宋" w:cs="仿宋"/>
          <w:b w:val="0"/>
          <w:bCs w:val="0"/>
          <w:color w:val="auto"/>
          <w:kern w:val="2"/>
          <w:sz w:val="24"/>
          <w:szCs w:val="24"/>
          <w:vertAlign w:val="subscript"/>
          <w:lang w:val="en-US" w:eastAsia="zh-CN" w:bidi="ar-SA"/>
        </w:rPr>
        <w:t>9</w:t>
      </w:r>
      <w:r>
        <w:rPr>
          <w:rFonts w:hint="eastAsia" w:ascii="仿宋" w:hAnsi="仿宋" w:eastAsia="仿宋" w:cs="仿宋"/>
          <w:b w:val="0"/>
          <w:bCs w:val="0"/>
          <w:color w:val="auto"/>
          <w:kern w:val="2"/>
          <w:sz w:val="24"/>
          <w:szCs w:val="24"/>
          <w:lang w:val="en-US" w:eastAsia="zh-CN" w:bidi="ar-SA"/>
        </w:rPr>
        <w:t>）、石油烃（C</w:t>
      </w:r>
      <w:r>
        <w:rPr>
          <w:rFonts w:hint="eastAsia" w:ascii="仿宋" w:hAnsi="仿宋" w:eastAsia="仿宋" w:cs="仿宋"/>
          <w:b w:val="0"/>
          <w:bCs w:val="0"/>
          <w:color w:val="auto"/>
          <w:kern w:val="2"/>
          <w:sz w:val="24"/>
          <w:szCs w:val="24"/>
          <w:vertAlign w:val="subscript"/>
          <w:lang w:val="en-US" w:eastAsia="zh-CN" w:bidi="ar-SA"/>
        </w:rPr>
        <w:t>10</w:t>
      </w:r>
      <w:r>
        <w:rPr>
          <w:rFonts w:hint="eastAsia" w:ascii="仿宋" w:hAnsi="仿宋" w:eastAsia="仿宋" w:cs="仿宋"/>
          <w:b w:val="0"/>
          <w:bCs w:val="0"/>
          <w:color w:val="auto"/>
          <w:kern w:val="2"/>
          <w:sz w:val="24"/>
          <w:szCs w:val="24"/>
          <w:lang w:val="en-US" w:eastAsia="zh-CN" w:bidi="ar-SA"/>
        </w:rPr>
        <w:t>-C</w:t>
      </w:r>
      <w:r>
        <w:rPr>
          <w:rFonts w:hint="eastAsia" w:ascii="仿宋" w:hAnsi="仿宋" w:eastAsia="仿宋" w:cs="仿宋"/>
          <w:b w:val="0"/>
          <w:bCs w:val="0"/>
          <w:color w:val="auto"/>
          <w:kern w:val="2"/>
          <w:sz w:val="24"/>
          <w:szCs w:val="24"/>
          <w:vertAlign w:val="subscript"/>
          <w:lang w:val="en-US" w:eastAsia="zh-CN" w:bidi="ar-SA"/>
        </w:rPr>
        <w:t>40</w:t>
      </w:r>
      <w:r>
        <w:rPr>
          <w:rFonts w:hint="eastAsia" w:ascii="仿宋" w:hAnsi="仿宋" w:eastAsia="仿宋" w:cs="仿宋"/>
          <w:b w:val="0"/>
          <w:bCs w:val="0"/>
          <w:color w:val="auto"/>
          <w:kern w:val="2"/>
          <w:sz w:val="24"/>
          <w:szCs w:val="24"/>
          <w:lang w:val="en-US" w:eastAsia="zh-CN" w:bidi="ar-SA"/>
        </w:rPr>
        <w:t>）、甲基叔丁基醚。</w:t>
      </w:r>
    </w:p>
    <w:p w14:paraId="2C43A9D3">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outlineLvl w:val="9"/>
        <w:rPr>
          <w:rFonts w:hint="eastAsia" w:ascii="仿宋" w:hAnsi="仿宋" w:eastAsia="仿宋" w:cs="仿宋"/>
          <w:b/>
          <w:bCs/>
          <w:color w:val="auto"/>
          <w:lang w:val="en-US" w:eastAsia="zh-CN"/>
        </w:rPr>
      </w:pPr>
      <w:bookmarkStart w:id="12" w:name="_Toc19775"/>
      <w:bookmarkStart w:id="13" w:name="_Toc10178"/>
      <w:r>
        <w:rPr>
          <w:rFonts w:hint="eastAsia" w:ascii="仿宋" w:hAnsi="仿宋" w:eastAsia="仿宋" w:cs="仿宋"/>
          <w:b/>
          <w:bCs/>
          <w:color w:val="auto"/>
          <w:lang w:val="en-US" w:eastAsia="zh-CN"/>
        </w:rPr>
        <w:t>二、初步采样调查</w:t>
      </w:r>
      <w:bookmarkEnd w:id="12"/>
      <w:bookmarkEnd w:id="13"/>
    </w:p>
    <w:p w14:paraId="38171B5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第二阶段土壤污染状况调查初步采样时间为2024年4月5日。经地块内未拆除构筑对采样计划影响分析，地块内剩余构筑物不影响本次采样计划。本次土壤污染状况调查共布设38个土壤采样点位（包含一个土壤对照采样点），土壤点位采样深度为6m，共送检174个土壤样品（包括4个对照土样品，15个平行样），检测项目包括：pH值、GB36600中表1基本项目45项、氨氮、硫化物、氟化物、氯化物、氰化物、硫酸盐</w:t>
      </w:r>
      <w:r>
        <w:rPr>
          <w:rFonts w:hint="eastAsia" w:ascii="仿宋" w:hAnsi="仿宋" w:eastAsia="仿宋" w:cs="仿宋"/>
          <w:color w:val="auto"/>
          <w:sz w:val="24"/>
          <w:szCs w:val="24"/>
          <w:vertAlign w:val="baseline"/>
          <w:lang w:val="en-US" w:eastAsia="zh-CN"/>
        </w:rPr>
        <w:t>、硝酸盐、亚硝酸盐、石油烃（C</w:t>
      </w:r>
      <w:r>
        <w:rPr>
          <w:rFonts w:hint="eastAsia" w:ascii="仿宋" w:hAnsi="仿宋" w:eastAsia="仿宋" w:cs="仿宋"/>
          <w:color w:val="auto"/>
          <w:sz w:val="24"/>
          <w:szCs w:val="24"/>
          <w:vertAlign w:val="subscript"/>
          <w:lang w:val="en-US" w:eastAsia="zh-CN"/>
        </w:rPr>
        <w:t>10</w:t>
      </w:r>
      <w:r>
        <w:rPr>
          <w:rFonts w:hint="eastAsia" w:ascii="仿宋" w:hAnsi="仿宋" w:eastAsia="仿宋" w:cs="仿宋"/>
          <w:color w:val="auto"/>
          <w:sz w:val="24"/>
          <w:szCs w:val="24"/>
          <w:vertAlign w:val="baseline"/>
          <w:lang w:val="en-US" w:eastAsia="zh-CN"/>
        </w:rPr>
        <w:t>-C</w:t>
      </w:r>
      <w:r>
        <w:rPr>
          <w:rFonts w:hint="eastAsia" w:ascii="仿宋" w:hAnsi="仿宋" w:eastAsia="仿宋" w:cs="仿宋"/>
          <w:color w:val="auto"/>
          <w:sz w:val="24"/>
          <w:szCs w:val="24"/>
          <w:vertAlign w:val="subscript"/>
          <w:lang w:val="en-US" w:eastAsia="zh-CN"/>
        </w:rPr>
        <w:t>40</w:t>
      </w:r>
      <w:r>
        <w:rPr>
          <w:rFonts w:hint="eastAsia" w:ascii="仿宋" w:hAnsi="仿宋" w:eastAsia="仿宋" w:cs="仿宋"/>
          <w:color w:val="auto"/>
          <w:sz w:val="24"/>
          <w:szCs w:val="24"/>
          <w:vertAlign w:val="baseline"/>
          <w:lang w:val="en-US" w:eastAsia="zh-CN"/>
        </w:rPr>
        <w:t>）、石油烃（C</w:t>
      </w:r>
      <w:r>
        <w:rPr>
          <w:rFonts w:hint="eastAsia" w:ascii="仿宋" w:hAnsi="仿宋" w:eastAsia="仿宋" w:cs="仿宋"/>
          <w:color w:val="auto"/>
          <w:sz w:val="24"/>
          <w:szCs w:val="24"/>
          <w:vertAlign w:val="subscript"/>
          <w:lang w:val="en-US" w:eastAsia="zh-CN"/>
        </w:rPr>
        <w:t>6</w:t>
      </w:r>
      <w:r>
        <w:rPr>
          <w:rFonts w:hint="eastAsia" w:ascii="仿宋" w:hAnsi="仿宋" w:eastAsia="仿宋" w:cs="仿宋"/>
          <w:color w:val="auto"/>
          <w:sz w:val="24"/>
          <w:szCs w:val="24"/>
          <w:vertAlign w:val="baseline"/>
          <w:lang w:val="en-US" w:eastAsia="zh-CN"/>
        </w:rPr>
        <w:t>-C</w:t>
      </w:r>
      <w:r>
        <w:rPr>
          <w:rFonts w:hint="eastAsia" w:ascii="仿宋" w:hAnsi="仿宋" w:eastAsia="仿宋" w:cs="仿宋"/>
          <w:color w:val="auto"/>
          <w:sz w:val="24"/>
          <w:szCs w:val="24"/>
          <w:vertAlign w:val="subscript"/>
          <w:lang w:val="en-US" w:eastAsia="zh-CN"/>
        </w:rPr>
        <w:t>9</w:t>
      </w:r>
      <w:r>
        <w:rPr>
          <w:rFonts w:hint="eastAsia" w:ascii="仿宋" w:hAnsi="仿宋" w:eastAsia="仿宋" w:cs="仿宋"/>
          <w:color w:val="auto"/>
          <w:sz w:val="24"/>
          <w:szCs w:val="24"/>
          <w:vertAlign w:val="baseline"/>
          <w:lang w:val="en-US" w:eastAsia="zh-CN"/>
        </w:rPr>
        <w:t>）、锑、锡、锌、硒、硼、丙酮、苯酚、甲醛、</w:t>
      </w:r>
      <w:r>
        <w:rPr>
          <w:rFonts w:hint="eastAsia" w:ascii="仿宋" w:hAnsi="仿宋" w:eastAsia="仿宋" w:cs="仿宋"/>
          <w:color w:val="auto"/>
          <w:sz w:val="24"/>
          <w:szCs w:val="24"/>
          <w:lang w:val="en-US" w:eastAsia="zh-CN"/>
        </w:rPr>
        <w:t>甲醇</w:t>
      </w:r>
      <w:r>
        <w:rPr>
          <w:rFonts w:hint="eastAsia" w:ascii="仿宋" w:hAnsi="仿宋" w:eastAsia="仿宋" w:cs="仿宋"/>
          <w:color w:val="auto"/>
          <w:sz w:val="24"/>
          <w:szCs w:val="24"/>
          <w:vertAlign w:val="baseline"/>
          <w:lang w:val="en-US" w:eastAsia="zh-CN"/>
        </w:rPr>
        <w:t>、丙烯酸乙酯</w:t>
      </w:r>
      <w:r>
        <w:rPr>
          <w:rFonts w:hint="eastAsia" w:ascii="仿宋" w:hAnsi="仿宋" w:eastAsia="仿宋" w:cs="仿宋"/>
          <w:color w:val="auto"/>
          <w:sz w:val="24"/>
          <w:szCs w:val="24"/>
          <w:lang w:val="en-US" w:eastAsia="zh-CN"/>
        </w:rPr>
        <w:t>、甲基叔丁基醚、二甲基甲酰胺、三氯苯（1,2,3三氯苯、1,2,4三氯苯）、三溴甲烷、邻苯二酚、间-甲酚、三乙胺；其中调查范围内靠近如皋市绢纺厂（厂内含含如皋市莱思染整有限公司、如皋市弘森染丝线厂、如皋市绢纺厂、江苏大地蓝绢纺织有限公司、如皋市诗图纺织有限公司等印染企业）的布点网格内的土壤检测点位（T0、T29、T30、T32、T34、T36、T37）增测苯胺类及联苯胺类（2-萘胺、联苯胺、2-甲氧基苯胺、2,6-二甲基苯胺、4-甲基苯胺、2-甲基苯胺、2,4-二甲基苯胺、3-氯苯胺、3,3-二氯联苯胺、4-氯苯胺、4-硝基苯胺、3-硝基苯胺、3-甲基苯胺、N-亚硝基二苯胺），进一步确定周边印染企业历史生产活动对地块的影响。</w:t>
      </w:r>
    </w:p>
    <w:p w14:paraId="312567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b w:val="0"/>
          <w:bCs w:val="0"/>
          <w:color w:val="auto"/>
          <w:kern w:val="2"/>
          <w:sz w:val="24"/>
          <w:szCs w:val="24"/>
          <w:highlight w:val="none"/>
          <w:lang w:val="en-US" w:eastAsia="zh-CN" w:bidi="ar-SA"/>
        </w:rPr>
        <w:t>本次调查地块内</w:t>
      </w:r>
      <w:r>
        <w:rPr>
          <w:rFonts w:hint="eastAsia" w:ascii="仿宋" w:hAnsi="仿宋" w:eastAsia="仿宋" w:cs="仿宋"/>
          <w:color w:val="auto"/>
          <w:lang w:val="en-US" w:eastAsia="zh-CN"/>
        </w:rPr>
        <w:t>共布设18个地下水监测井（包含一个地下水对照采样点），井深不少于6m，采集20个地下水样品（包含2个平行样），</w:t>
      </w:r>
      <w:r>
        <w:rPr>
          <w:rFonts w:hint="eastAsia" w:ascii="仿宋" w:hAnsi="仿宋" w:eastAsia="仿宋" w:cs="仿宋"/>
          <w:color w:val="auto"/>
          <w:sz w:val="24"/>
          <w:szCs w:val="24"/>
          <w:lang w:val="en-US" w:eastAsia="zh-CN"/>
        </w:rPr>
        <w:t>检测项目包括：pH值、GB36600中表1基本项目45项、氨氮、硫化物、氟化物、氯化物、氰化物、硫酸盐</w:t>
      </w:r>
      <w:r>
        <w:rPr>
          <w:rFonts w:hint="eastAsia" w:ascii="仿宋" w:hAnsi="仿宋" w:eastAsia="仿宋" w:cs="仿宋"/>
          <w:color w:val="auto"/>
          <w:sz w:val="24"/>
          <w:szCs w:val="24"/>
          <w:vertAlign w:val="baseline"/>
          <w:lang w:val="en-US" w:eastAsia="zh-CN"/>
        </w:rPr>
        <w:t>、硝酸盐、亚硝酸盐、石油烃（C</w:t>
      </w:r>
      <w:r>
        <w:rPr>
          <w:rFonts w:hint="eastAsia" w:ascii="仿宋" w:hAnsi="仿宋" w:eastAsia="仿宋" w:cs="仿宋"/>
          <w:color w:val="auto"/>
          <w:sz w:val="24"/>
          <w:szCs w:val="24"/>
          <w:vertAlign w:val="subscript"/>
          <w:lang w:val="en-US" w:eastAsia="zh-CN"/>
        </w:rPr>
        <w:t>10</w:t>
      </w:r>
      <w:r>
        <w:rPr>
          <w:rFonts w:hint="eastAsia" w:ascii="仿宋" w:hAnsi="仿宋" w:eastAsia="仿宋" w:cs="仿宋"/>
          <w:color w:val="auto"/>
          <w:sz w:val="24"/>
          <w:szCs w:val="24"/>
          <w:vertAlign w:val="baseline"/>
          <w:lang w:val="en-US" w:eastAsia="zh-CN"/>
        </w:rPr>
        <w:t>-C</w:t>
      </w:r>
      <w:r>
        <w:rPr>
          <w:rFonts w:hint="eastAsia" w:ascii="仿宋" w:hAnsi="仿宋" w:eastAsia="仿宋" w:cs="仿宋"/>
          <w:color w:val="auto"/>
          <w:sz w:val="24"/>
          <w:szCs w:val="24"/>
          <w:vertAlign w:val="subscript"/>
          <w:lang w:val="en-US" w:eastAsia="zh-CN"/>
        </w:rPr>
        <w:t>40</w:t>
      </w:r>
      <w:r>
        <w:rPr>
          <w:rFonts w:hint="eastAsia" w:ascii="仿宋" w:hAnsi="仿宋" w:eastAsia="仿宋" w:cs="仿宋"/>
          <w:color w:val="auto"/>
          <w:sz w:val="24"/>
          <w:szCs w:val="24"/>
          <w:vertAlign w:val="baseline"/>
          <w:lang w:val="en-US" w:eastAsia="zh-CN"/>
        </w:rPr>
        <w:t>）、石油烃（C</w:t>
      </w:r>
      <w:r>
        <w:rPr>
          <w:rFonts w:hint="eastAsia" w:ascii="仿宋" w:hAnsi="仿宋" w:eastAsia="仿宋" w:cs="仿宋"/>
          <w:color w:val="auto"/>
          <w:sz w:val="24"/>
          <w:szCs w:val="24"/>
          <w:vertAlign w:val="subscript"/>
          <w:lang w:val="en-US" w:eastAsia="zh-CN"/>
        </w:rPr>
        <w:t>6</w:t>
      </w:r>
      <w:r>
        <w:rPr>
          <w:rFonts w:hint="eastAsia" w:ascii="仿宋" w:hAnsi="仿宋" w:eastAsia="仿宋" w:cs="仿宋"/>
          <w:color w:val="auto"/>
          <w:sz w:val="24"/>
          <w:szCs w:val="24"/>
          <w:vertAlign w:val="baseline"/>
          <w:lang w:val="en-US" w:eastAsia="zh-CN"/>
        </w:rPr>
        <w:t>-C</w:t>
      </w:r>
      <w:r>
        <w:rPr>
          <w:rFonts w:hint="eastAsia" w:ascii="仿宋" w:hAnsi="仿宋" w:eastAsia="仿宋" w:cs="仿宋"/>
          <w:color w:val="auto"/>
          <w:sz w:val="24"/>
          <w:szCs w:val="24"/>
          <w:vertAlign w:val="subscript"/>
          <w:lang w:val="en-US" w:eastAsia="zh-CN"/>
        </w:rPr>
        <w:t>9</w:t>
      </w:r>
      <w:r>
        <w:rPr>
          <w:rFonts w:hint="eastAsia" w:ascii="仿宋" w:hAnsi="仿宋" w:eastAsia="仿宋" w:cs="仿宋"/>
          <w:color w:val="auto"/>
          <w:sz w:val="24"/>
          <w:szCs w:val="24"/>
          <w:vertAlign w:val="baseline"/>
          <w:lang w:val="en-US" w:eastAsia="zh-CN"/>
        </w:rPr>
        <w:t>）、锑、锡、锌、硒、硼、丙酮、苯酚、甲醛、</w:t>
      </w:r>
      <w:r>
        <w:rPr>
          <w:rFonts w:hint="eastAsia" w:ascii="仿宋" w:hAnsi="仿宋" w:eastAsia="仿宋" w:cs="仿宋"/>
          <w:color w:val="auto"/>
          <w:sz w:val="24"/>
          <w:szCs w:val="24"/>
          <w:lang w:val="en-US" w:eastAsia="zh-CN"/>
        </w:rPr>
        <w:t>甲醇</w:t>
      </w:r>
      <w:r>
        <w:rPr>
          <w:rFonts w:hint="eastAsia" w:ascii="仿宋" w:hAnsi="仿宋" w:eastAsia="仿宋" w:cs="仿宋"/>
          <w:color w:val="auto"/>
          <w:sz w:val="24"/>
          <w:szCs w:val="24"/>
          <w:vertAlign w:val="baseline"/>
          <w:lang w:val="en-US" w:eastAsia="zh-CN"/>
        </w:rPr>
        <w:t>、丙烯酸乙酯</w:t>
      </w:r>
      <w:r>
        <w:rPr>
          <w:rFonts w:hint="eastAsia" w:ascii="仿宋" w:hAnsi="仿宋" w:eastAsia="仿宋" w:cs="仿宋"/>
          <w:color w:val="auto"/>
          <w:sz w:val="24"/>
          <w:szCs w:val="24"/>
          <w:lang w:val="en-US" w:eastAsia="zh-CN"/>
        </w:rPr>
        <w:t>、甲基叔丁基醚、二甲基甲酰胺、三氯苯（1,2,3三氯苯、1,2,4三氯苯）、三溴甲烷、邻苯二酚、间-甲酚、三乙胺；其中调查范围内靠近如皋市绢纺厂的布点网格内的土壤检测点位（D0、D16、D17）其中需增测苯胺类及联苯胺类（2-萘胺、联苯胺、2-甲氧基苯胺、2,6-二甲基苯胺、4-甲基苯胺、2-甲基苯胺、2,4-二甲基苯胺、3-氯苯胺、3,3-二氯联苯胺、4-氯苯胺、4-硝基苯胺、3-硝基苯胺、3-甲基苯胺、N-亚硝基二苯胺），进一步确定周边印染企业历史生产活动对地块的影响。</w:t>
      </w:r>
    </w:p>
    <w:p w14:paraId="10EA02C8">
      <w:pPr>
        <w:keepNext w:val="0"/>
        <w:keepLines w:val="0"/>
        <w:pageBreakBefore w:val="0"/>
        <w:widowControl w:val="0"/>
        <w:numPr>
          <w:ilvl w:val="0"/>
          <w:numId w:val="3"/>
        </w:numPr>
        <w:kinsoku/>
        <w:wordWrap/>
        <w:overflowPunct/>
        <w:topLinePunct w:val="0"/>
        <w:autoSpaceDE/>
        <w:autoSpaceDN/>
        <w:bidi w:val="0"/>
        <w:adjustRightInd/>
        <w:snapToGrid/>
        <w:ind w:firstLine="482" w:firstLineChars="200"/>
        <w:textAlignment w:val="auto"/>
        <w:outlineLvl w:val="9"/>
        <w:rPr>
          <w:rFonts w:hint="eastAsia" w:ascii="仿宋" w:hAnsi="仿宋" w:eastAsia="仿宋" w:cs="仿宋"/>
          <w:b/>
          <w:bCs/>
          <w:color w:val="auto"/>
          <w:sz w:val="24"/>
          <w:szCs w:val="24"/>
          <w:lang w:val="en-US" w:eastAsia="zh-CN"/>
        </w:rPr>
      </w:pPr>
      <w:bookmarkStart w:id="14" w:name="_Toc4874"/>
      <w:bookmarkStart w:id="15" w:name="_Toc23280"/>
      <w:r>
        <w:rPr>
          <w:rFonts w:hint="eastAsia" w:ascii="仿宋" w:hAnsi="仿宋" w:eastAsia="仿宋" w:cs="仿宋"/>
          <w:b/>
          <w:bCs/>
          <w:color w:val="auto"/>
          <w:lang w:val="en-US" w:eastAsia="zh-CN"/>
        </w:rPr>
        <w:t>检测结果分析</w:t>
      </w:r>
      <w:bookmarkEnd w:id="14"/>
      <w:bookmarkEnd w:id="15"/>
    </w:p>
    <w:p w14:paraId="4911FA5F">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（1）土壤：地块内土壤样品检出93种因子，</w:t>
      </w:r>
      <w:r>
        <w:rPr>
          <w:rFonts w:hint="eastAsia" w:ascii="仿宋" w:hAnsi="仿宋" w:eastAsia="仿宋" w:cs="仿宋"/>
          <w:color w:val="auto"/>
          <w:sz w:val="24"/>
          <w:szCs w:val="24"/>
        </w:rPr>
        <w:t>土壤各指标均未超过《土壤环境质量建设用地土壤污染风险管控标准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试行</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》（GB36600-2018）</w:t>
      </w:r>
      <w:r>
        <w:rPr>
          <w:rFonts w:hint="eastAsia" w:ascii="仿宋" w:hAnsi="仿宋" w:eastAsia="仿宋" w:cs="仿宋"/>
          <w:color w:val="auto"/>
          <w:sz w:val="24"/>
          <w:szCs w:val="24"/>
          <w:lang w:val="en-US" w:eastAsia="zh-CN"/>
        </w:rPr>
        <w:t>、《深圳市 建设用地土壤污染风险筛选值和管制值（DB4403_T67-2020）》、《河北省 建设用地土壤污染风险筛选值(DB13/T5216-2020）》、《江</w:t>
      </w:r>
      <w:r>
        <w:rPr>
          <w:rFonts w:hint="eastAsia" w:ascii="仿宋" w:hAnsi="仿宋" w:eastAsia="仿宋" w:cs="仿宋"/>
          <w:b w:val="0"/>
          <w:bCs w:val="0"/>
          <w:color w:val="auto"/>
          <w:sz w:val="24"/>
          <w:szCs w:val="32"/>
          <w:lang w:val="en-US" w:eastAsia="zh-CN"/>
        </w:rPr>
        <w:t>苏省 建设用地土壤污染风险筛选值（DB32/T 4712-2024）》、《黑龙江省土壤污染防治风险筛选指导值（试行）》（DB23/T3314-2022）</w:t>
      </w:r>
      <w:r>
        <w:rPr>
          <w:rFonts w:hint="eastAsia" w:ascii="仿宋" w:hAnsi="仿宋" w:eastAsia="仿宋" w:cs="仿宋"/>
          <w:color w:val="auto"/>
          <w:sz w:val="24"/>
          <w:szCs w:val="24"/>
        </w:rPr>
        <w:t>中</w:t>
      </w:r>
      <w:r>
        <w:rPr>
          <w:rFonts w:hint="eastAsia" w:ascii="仿宋" w:hAnsi="仿宋" w:eastAsia="仿宋" w:cs="仿宋"/>
          <w:color w:val="auto"/>
          <w:sz w:val="24"/>
          <w:szCs w:val="24"/>
          <w:lang w:eastAsia="zh-CN"/>
        </w:rPr>
        <w:t>第</w:t>
      </w:r>
      <w:r>
        <w:rPr>
          <w:rFonts w:hint="eastAsia" w:ascii="仿宋" w:hAnsi="仿宋" w:eastAsia="仿宋" w:cs="仿宋"/>
          <w:color w:val="auto"/>
          <w:sz w:val="24"/>
          <w:szCs w:val="24"/>
          <w:lang w:val="en-US" w:eastAsia="zh-CN"/>
        </w:rPr>
        <w:t>一</w:t>
      </w:r>
      <w:r>
        <w:rPr>
          <w:rFonts w:hint="eastAsia" w:ascii="仿宋" w:hAnsi="仿宋" w:eastAsia="仿宋" w:cs="仿宋"/>
          <w:color w:val="auto"/>
          <w:sz w:val="24"/>
          <w:szCs w:val="24"/>
          <w:lang w:eastAsia="zh-CN"/>
        </w:rPr>
        <w:t>类</w:t>
      </w:r>
      <w:r>
        <w:rPr>
          <w:rFonts w:hint="eastAsia" w:ascii="仿宋" w:hAnsi="仿宋" w:eastAsia="仿宋" w:cs="仿宋"/>
          <w:color w:val="auto"/>
          <w:sz w:val="24"/>
          <w:szCs w:val="24"/>
          <w:lang w:val="en-US" w:eastAsia="zh-CN"/>
        </w:rPr>
        <w:t>用地</w:t>
      </w:r>
      <w:r>
        <w:rPr>
          <w:rFonts w:hint="eastAsia" w:ascii="仿宋" w:hAnsi="仿宋" w:eastAsia="仿宋" w:cs="仿宋"/>
          <w:color w:val="auto"/>
          <w:sz w:val="24"/>
          <w:szCs w:val="24"/>
          <w:lang w:eastAsia="zh-CN"/>
        </w:rPr>
        <w:t>筛选值</w:t>
      </w:r>
      <w:r>
        <w:rPr>
          <w:rFonts w:hint="eastAsia" w:ascii="仿宋" w:hAnsi="仿宋" w:eastAsia="仿宋" w:cs="仿宋"/>
          <w:color w:val="auto"/>
          <w:sz w:val="24"/>
          <w:szCs w:val="24"/>
          <w:lang w:val="en-US" w:eastAsia="zh-CN"/>
        </w:rPr>
        <w:t>标准及《污染场地风险评估电子表格》计算出的风险控制值结果。个别位于未来规划为公园绿地的土壤采样点位地表以下1.5m范围内的土壤，同时符合江苏省《建设用地土壤污染风险筛选值（DB32/T 4712-2024）》表2筛选值标准。</w:t>
      </w:r>
    </w:p>
    <w:p w14:paraId="6B3046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color w:val="auto"/>
          <w:sz w:val="24"/>
          <w:szCs w:val="24"/>
          <w:lang w:val="en-US" w:eastAsia="zh-CN"/>
        </w:rPr>
        <w:t>（2）地下水：除氨氮、挥发酚指标，其余检出指标均不超过《地下水质量标准》（GB/T 14848-2017）中IV类水标准及《上海市建设用地土壤污染状况调查、风险评估、风险管控与修复方案编制、风险管控与修复效果评估工作的补充规定（试行）》（沪环土[2020]62号）第一类用地筛选值标准。</w:t>
      </w:r>
      <w:r>
        <w:rPr>
          <w:rFonts w:hint="eastAsia" w:ascii="仿宋" w:hAnsi="仿宋" w:eastAsia="仿宋" w:cs="仿宋"/>
          <w:b w:val="0"/>
          <w:bCs w:val="0"/>
          <w:color w:val="auto"/>
          <w:kern w:val="2"/>
          <w:sz w:val="24"/>
          <w:szCs w:val="24"/>
          <w:highlight w:val="none"/>
          <w:lang w:val="en-US" w:eastAsia="zh-CN" w:bidi="ar-SA"/>
        </w:rPr>
        <w:t>氨氮为常规化学指标，轻微超标原因可能由于区域地质构造、水文地质条件导致，同时考虑居民生活（农产品种植）对地下水的影响。本次调查地块对照点的挥发酚和地块内点位及挥发酚超标，考虑该地块内背景值较高，无需进行进一步调查。</w:t>
      </w:r>
    </w:p>
    <w:p w14:paraId="583FF83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（3）地表水：地表水样品检出色度、pH值、硫酸根、氯离子、铜、锌、挥发酚、阴离子表面活性剂、高锰酸盐指数、氨氮、硝酸根（以N计）、氟离子、砷、铅、镍、硼、锡、化学需氧量、可萃取性石油烃(C</w:t>
      </w:r>
      <w:r>
        <w:rPr>
          <w:rFonts w:hint="eastAsia" w:ascii="仿宋" w:hAnsi="仿宋" w:eastAsia="仿宋" w:cs="仿宋"/>
          <w:b w:val="0"/>
          <w:bCs w:val="0"/>
          <w:color w:val="auto"/>
          <w:kern w:val="2"/>
          <w:sz w:val="24"/>
          <w:szCs w:val="24"/>
          <w:highlight w:val="none"/>
          <w:vertAlign w:val="subscript"/>
          <w:lang w:val="en-US" w:eastAsia="zh-CN" w:bidi="ar-SA"/>
        </w:rPr>
        <w:t>10</w:t>
      </w:r>
      <w:r>
        <w:rPr>
          <w:rFonts w:hint="eastAsia" w:ascii="仿宋" w:hAnsi="仿宋" w:eastAsia="仿宋" w:cs="仿宋"/>
          <w:b w:val="0"/>
          <w:bCs w:val="0"/>
          <w:color w:val="auto"/>
          <w:kern w:val="2"/>
          <w:sz w:val="24"/>
          <w:szCs w:val="24"/>
          <w:highlight w:val="none"/>
          <w:lang w:val="en-US" w:eastAsia="zh-CN" w:bidi="ar-SA"/>
        </w:rPr>
        <w:t>-C</w:t>
      </w:r>
      <w:r>
        <w:rPr>
          <w:rFonts w:hint="eastAsia" w:ascii="仿宋" w:hAnsi="仿宋" w:eastAsia="仿宋" w:cs="仿宋"/>
          <w:b w:val="0"/>
          <w:bCs w:val="0"/>
          <w:color w:val="auto"/>
          <w:kern w:val="2"/>
          <w:sz w:val="24"/>
          <w:szCs w:val="24"/>
          <w:highlight w:val="none"/>
          <w:vertAlign w:val="subscript"/>
          <w:lang w:val="en-US" w:eastAsia="zh-CN" w:bidi="ar-SA"/>
        </w:rPr>
        <w:t>40</w:t>
      </w:r>
      <w:r>
        <w:rPr>
          <w:rFonts w:hint="eastAsia" w:ascii="仿宋" w:hAnsi="仿宋" w:eastAsia="仿宋" w:cs="仿宋"/>
          <w:b w:val="0"/>
          <w:bCs w:val="0"/>
          <w:color w:val="auto"/>
          <w:kern w:val="2"/>
          <w:sz w:val="24"/>
          <w:szCs w:val="24"/>
          <w:highlight w:val="none"/>
          <w:lang w:val="en-US" w:eastAsia="zh-CN" w:bidi="ar-SA"/>
        </w:rPr>
        <w:t>)、可吸附有机卤素。检出因子中除挥发酚外，其余检测因子检出数值均不超过《地表水质量标准》（GB3838-2002）Ⅲ类标准值。</w:t>
      </w:r>
    </w:p>
    <w:p w14:paraId="506277E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（4）底泥：</w:t>
      </w:r>
      <w:r>
        <w:rPr>
          <w:rFonts w:hint="eastAsia" w:ascii="仿宋" w:hAnsi="仿宋" w:eastAsia="仿宋" w:cs="仿宋"/>
          <w:color w:val="auto"/>
          <w:kern w:val="2"/>
          <w:sz w:val="24"/>
          <w:szCs w:val="20"/>
          <w:lang w:val="en-US" w:eastAsia="zh-CN" w:bidi="ar-SA"/>
        </w:rPr>
        <w:t>底泥样品检出</w:t>
      </w:r>
      <w:r>
        <w:rPr>
          <w:rFonts w:hint="default" w:ascii="仿宋" w:hAnsi="仿宋" w:eastAsia="仿宋" w:cs="仿宋"/>
          <w:color w:val="auto"/>
          <w:kern w:val="2"/>
          <w:sz w:val="24"/>
          <w:szCs w:val="20"/>
          <w:lang w:val="en-US" w:eastAsia="zh-CN" w:bidi="ar-SA"/>
        </w:rPr>
        <w:t>砷</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镉</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铜</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铅</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汞</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镍</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锑</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硒</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锡</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锌</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硼</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硝酸盐氮</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亚硝酸盐氮</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水溶性硫酸盐</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氯离子</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氨氮</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硫化物</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总氟化物</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石油烃(C</w:t>
      </w:r>
      <w:r>
        <w:rPr>
          <w:rFonts w:hint="default" w:ascii="仿宋" w:hAnsi="仿宋" w:eastAsia="仿宋" w:cs="仿宋"/>
          <w:color w:val="auto"/>
          <w:kern w:val="2"/>
          <w:sz w:val="24"/>
          <w:szCs w:val="20"/>
          <w:vertAlign w:val="subscript"/>
          <w:lang w:val="en-US" w:eastAsia="zh-CN" w:bidi="ar-SA"/>
        </w:rPr>
        <w:t>10</w:t>
      </w:r>
      <w:r>
        <w:rPr>
          <w:rFonts w:hint="default" w:ascii="仿宋" w:hAnsi="仿宋" w:eastAsia="仿宋" w:cs="仿宋"/>
          <w:color w:val="auto"/>
          <w:kern w:val="2"/>
          <w:sz w:val="24"/>
          <w:szCs w:val="20"/>
          <w:lang w:val="en-US" w:eastAsia="zh-CN" w:bidi="ar-SA"/>
        </w:rPr>
        <w:t>-C</w:t>
      </w:r>
      <w:r>
        <w:rPr>
          <w:rFonts w:hint="default" w:ascii="仿宋" w:hAnsi="仿宋" w:eastAsia="仿宋" w:cs="仿宋"/>
          <w:color w:val="auto"/>
          <w:kern w:val="2"/>
          <w:sz w:val="24"/>
          <w:szCs w:val="20"/>
          <w:vertAlign w:val="subscript"/>
          <w:lang w:val="en-US" w:eastAsia="zh-CN" w:bidi="ar-SA"/>
        </w:rPr>
        <w:t>40</w:t>
      </w:r>
      <w:r>
        <w:rPr>
          <w:rFonts w:hint="default" w:ascii="仿宋" w:hAnsi="仿宋" w:eastAsia="仿宋" w:cs="仿宋"/>
          <w:color w:val="auto"/>
          <w:kern w:val="2"/>
          <w:sz w:val="24"/>
          <w:szCs w:val="20"/>
          <w:lang w:val="en-US" w:eastAsia="zh-CN" w:bidi="ar-SA"/>
        </w:rPr>
        <w:t>)</w:t>
      </w:r>
      <w:r>
        <w:rPr>
          <w:rFonts w:hint="eastAsia" w:ascii="仿宋" w:hAnsi="仿宋" w:eastAsia="仿宋" w:cs="仿宋"/>
          <w:color w:val="auto"/>
          <w:kern w:val="2"/>
          <w:sz w:val="24"/>
          <w:szCs w:val="20"/>
          <w:lang w:val="en-US" w:eastAsia="zh-CN" w:bidi="ar-SA"/>
        </w:rPr>
        <w:t>，除铅因子外其余检出因子检出含量均不超过《土壤环境质量建设用地土壤污染风险管控标准（试行）》（GB36600-2018）中第一类用地筛选值标准。</w:t>
      </w:r>
    </w:p>
    <w:p w14:paraId="46B1477A">
      <w:pPr>
        <w:pStyle w:val="13"/>
        <w:keepNext w:val="0"/>
        <w:keepLines w:val="0"/>
        <w:pageBreakBefore w:val="0"/>
        <w:widowControl w:val="0"/>
        <w:kinsoku/>
        <w:wordWrap/>
        <w:overflowPunct/>
        <w:topLinePunct w:val="0"/>
        <w:autoSpaceDE/>
        <w:autoSpaceDN/>
        <w:bidi w:val="0"/>
        <w:adjustRightInd/>
        <w:snapToGrid/>
        <w:spacing w:after="0" w:afterLines="0"/>
        <w:ind w:firstLine="482" w:firstLineChars="200"/>
        <w:jc w:val="left"/>
        <w:textAlignment w:val="auto"/>
        <w:outlineLvl w:val="9"/>
        <w:rPr>
          <w:rFonts w:hint="eastAsia" w:ascii="仿宋" w:hAnsi="仿宋" w:eastAsia="仿宋" w:cs="仿宋"/>
          <w:b/>
          <w:bCs/>
          <w:color w:val="auto"/>
          <w:lang w:val="en-US" w:eastAsia="zh-CN"/>
        </w:rPr>
      </w:pPr>
      <w:bookmarkStart w:id="16" w:name="_Toc3705"/>
      <w:bookmarkStart w:id="17" w:name="_Toc31493"/>
      <w:r>
        <w:rPr>
          <w:rFonts w:hint="eastAsia" w:ascii="仿宋" w:hAnsi="仿宋" w:eastAsia="仿宋" w:cs="仿宋"/>
          <w:b/>
          <w:bCs/>
          <w:color w:val="auto"/>
          <w:lang w:val="en-US" w:eastAsia="zh-CN"/>
        </w:rPr>
        <w:t>四、结论</w:t>
      </w:r>
      <w:bookmarkEnd w:id="16"/>
      <w:bookmarkEnd w:id="17"/>
    </w:p>
    <w:p w14:paraId="1EBEDAB8">
      <w:pPr>
        <w:pStyle w:val="13"/>
        <w:keepNext w:val="0"/>
        <w:keepLines w:val="0"/>
        <w:pageBreakBefore w:val="0"/>
        <w:widowControl w:val="0"/>
        <w:kinsoku/>
        <w:wordWrap/>
        <w:overflowPunct/>
        <w:topLinePunct w:val="0"/>
        <w:autoSpaceDE/>
        <w:autoSpaceDN/>
        <w:bidi w:val="0"/>
        <w:adjustRightInd/>
        <w:snapToGrid/>
        <w:spacing w:after="0" w:afterLines="0"/>
        <w:ind w:firstLine="480" w:firstLineChars="200"/>
        <w:jc w:val="left"/>
        <w:textAlignment w:val="auto"/>
        <w:rPr>
          <w:rFonts w:hint="eastAsia" w:ascii="仿宋" w:hAnsi="仿宋" w:eastAsia="仿宋" w:cs="仿宋"/>
          <w:b/>
          <w:bCs/>
          <w:color w:val="auto"/>
          <w:sz w:val="44"/>
          <w:szCs w:val="44"/>
          <w:lang w:val="en-US" w:eastAsia="zh-CN"/>
        </w:rPr>
      </w:pPr>
      <w:r>
        <w:rPr>
          <w:rFonts w:hint="eastAsia" w:ascii="仿宋" w:hAnsi="仿宋" w:eastAsia="仿宋" w:cs="仿宋"/>
          <w:color w:val="auto"/>
          <w:szCs w:val="21"/>
          <w:lang w:val="en-US" w:eastAsia="zh-CN"/>
        </w:rPr>
        <w:t>综上所述，</w:t>
      </w:r>
      <w:r>
        <w:rPr>
          <w:rFonts w:hint="eastAsia" w:ascii="仿宋" w:hAnsi="仿宋" w:eastAsia="仿宋" w:cs="仿宋"/>
          <w:color w:val="auto"/>
          <w:sz w:val="24"/>
          <w:szCs w:val="24"/>
          <w:lang w:val="en-US" w:eastAsia="zh-CN"/>
        </w:rPr>
        <w:t>如皋城西片区一期西部志颐路东、如泰运河南地块</w:t>
      </w:r>
      <w:r>
        <w:rPr>
          <w:rFonts w:hint="eastAsia" w:ascii="仿宋" w:hAnsi="仿宋" w:eastAsia="仿宋" w:cs="仿宋"/>
          <w:color w:val="auto"/>
          <w:szCs w:val="21"/>
          <w:lang w:val="en-US" w:eastAsia="zh-CN"/>
        </w:rPr>
        <w:t>不属于污染地块，无需进行进一步调查，地块符合GB36600中一类用地筛选值要求，可按照规划用于</w:t>
      </w:r>
      <w:r>
        <w:rPr>
          <w:rFonts w:hint="eastAsia" w:ascii="仿宋" w:hAnsi="仿宋" w:eastAsia="仿宋" w:cs="仿宋"/>
          <w:b w:val="0"/>
          <w:bCs w:val="0"/>
          <w:color w:val="auto"/>
          <w:sz w:val="24"/>
          <w:szCs w:val="32"/>
          <w:lang w:val="en-US" w:eastAsia="zh-CN"/>
        </w:rPr>
        <w:t>居住用地（R21）、商业服务业设施用地（B1）、幼托用地（Rax）、道路用地、公园绿地（G1）</w:t>
      </w:r>
      <w:r>
        <w:rPr>
          <w:rFonts w:hint="eastAsia" w:ascii="仿宋" w:hAnsi="仿宋" w:eastAsia="仿宋" w:cs="仿宋"/>
          <w:color w:val="auto"/>
          <w:szCs w:val="21"/>
          <w:lang w:val="en-US" w:eastAsia="zh-CN"/>
        </w:rPr>
        <w:t>建设。</w:t>
      </w:r>
    </w:p>
    <w:p w14:paraId="12185990">
      <w:pPr>
        <w:pStyle w:val="12"/>
        <w:rPr>
          <w:rFonts w:hint="eastAsia" w:ascii="仿宋" w:hAnsi="仿宋" w:eastAsia="仿宋" w:cs="仿宋"/>
          <w:color w:val="auto"/>
          <w:lang w:val="en-US" w:eastAsia="zh-CN"/>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p>
    <w:p w14:paraId="438B0F20">
      <w:pPr>
        <w:pStyle w:val="4"/>
        <w:keepNext w:val="0"/>
        <w:keepLines w:val="0"/>
        <w:pageBreakBefore w:val="0"/>
        <w:widowControl w:val="0"/>
        <w:kinsoku/>
        <w:wordWrap/>
        <w:overflowPunct/>
        <w:topLinePunct w:val="0"/>
        <w:autoSpaceDE/>
        <w:autoSpaceDN/>
        <w:bidi w:val="0"/>
        <w:adjustRightInd/>
        <w:snapToGrid/>
        <w:spacing w:after="0" w:afterLines="0" w:line="360" w:lineRule="auto"/>
        <w:ind w:leftChars="0" w:firstLine="0" w:firstLineChars="0"/>
        <w:jc w:val="center"/>
        <w:textAlignment w:val="auto"/>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t>目录</w:t>
      </w:r>
    </w:p>
    <w:p w14:paraId="5D2A9DDF">
      <w:pPr>
        <w:pStyle w:val="9"/>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TOC \o "1-2" \h \u </w:instrText>
      </w:r>
      <w:r>
        <w:rPr>
          <w:rFonts w:hint="eastAsia" w:ascii="仿宋" w:hAnsi="仿宋" w:eastAsia="仿宋" w:cs="仿宋"/>
          <w:color w:val="auto"/>
          <w:sz w:val="24"/>
          <w:szCs w:val="24"/>
        </w:rPr>
        <w:fldChar w:fldCharType="separate"/>
      </w: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_Toc17845 </w:instrText>
      </w:r>
      <w:r>
        <w:rPr>
          <w:rFonts w:hint="eastAsia" w:ascii="仿宋" w:hAnsi="仿宋" w:eastAsia="仿宋" w:cs="仿宋"/>
          <w:color w:val="auto"/>
          <w:szCs w:val="24"/>
        </w:rPr>
        <w:fldChar w:fldCharType="separate"/>
      </w:r>
      <w:r>
        <w:rPr>
          <w:rFonts w:hint="eastAsia" w:ascii="仿宋" w:hAnsi="仿宋" w:eastAsia="仿宋" w:cs="仿宋"/>
          <w:bCs/>
          <w:color w:val="auto"/>
          <w:szCs w:val="36"/>
          <w:lang w:val="en-US" w:eastAsia="zh-CN"/>
        </w:rPr>
        <w:t>摘 要</w:t>
      </w:r>
      <w:r>
        <w:rPr>
          <w:color w:val="auto"/>
        </w:rPr>
        <w:tab/>
      </w:r>
      <w:r>
        <w:rPr>
          <w:color w:val="auto"/>
        </w:rPr>
        <w:fldChar w:fldCharType="begin"/>
      </w:r>
      <w:r>
        <w:rPr>
          <w:color w:val="auto"/>
        </w:rPr>
        <w:instrText xml:space="preserve"> PAGEREF _Toc17845 \h </w:instrText>
      </w:r>
      <w:r>
        <w:rPr>
          <w:color w:val="auto"/>
        </w:rPr>
        <w:fldChar w:fldCharType="separate"/>
      </w:r>
      <w:r>
        <w:rPr>
          <w:color w:val="auto"/>
        </w:rPr>
        <w:t>I</w:t>
      </w:r>
      <w:r>
        <w:rPr>
          <w:color w:val="auto"/>
        </w:rPr>
        <w:fldChar w:fldCharType="end"/>
      </w:r>
      <w:r>
        <w:rPr>
          <w:rFonts w:hint="eastAsia" w:ascii="仿宋" w:hAnsi="仿宋" w:eastAsia="仿宋" w:cs="仿宋"/>
          <w:color w:val="auto"/>
          <w:szCs w:val="24"/>
        </w:rPr>
        <w:fldChar w:fldCharType="end"/>
      </w:r>
    </w:p>
    <w:p w14:paraId="3BF24A99">
      <w:pPr>
        <w:pStyle w:val="9"/>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_Toc31206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36"/>
          <w:lang w:val="en-US" w:eastAsia="zh-CN"/>
        </w:rPr>
        <w:t>1  前言</w:t>
      </w:r>
      <w:r>
        <w:rPr>
          <w:color w:val="auto"/>
        </w:rPr>
        <w:tab/>
      </w:r>
      <w:r>
        <w:rPr>
          <w:color w:val="auto"/>
        </w:rPr>
        <w:fldChar w:fldCharType="begin"/>
      </w:r>
      <w:r>
        <w:rPr>
          <w:color w:val="auto"/>
        </w:rPr>
        <w:instrText xml:space="preserve"> PAGEREF _Toc31206 \h </w:instrText>
      </w:r>
      <w:r>
        <w:rPr>
          <w:color w:val="auto"/>
        </w:rPr>
        <w:fldChar w:fldCharType="separate"/>
      </w:r>
      <w:r>
        <w:rPr>
          <w:color w:val="auto"/>
        </w:rPr>
        <w:t>1</w:t>
      </w:r>
      <w:r>
        <w:rPr>
          <w:color w:val="auto"/>
        </w:rPr>
        <w:fldChar w:fldCharType="end"/>
      </w:r>
      <w:r>
        <w:rPr>
          <w:rFonts w:hint="eastAsia" w:ascii="仿宋" w:hAnsi="仿宋" w:eastAsia="仿宋" w:cs="仿宋"/>
          <w:color w:val="auto"/>
          <w:szCs w:val="24"/>
        </w:rPr>
        <w:fldChar w:fldCharType="end"/>
      </w:r>
    </w:p>
    <w:p w14:paraId="6995BC7E">
      <w:pPr>
        <w:pStyle w:val="9"/>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_Toc20550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36"/>
          <w:lang w:val="en-US" w:eastAsia="zh-CN"/>
        </w:rPr>
        <w:t>2  概述</w:t>
      </w:r>
      <w:r>
        <w:rPr>
          <w:color w:val="auto"/>
        </w:rPr>
        <w:tab/>
      </w:r>
      <w:r>
        <w:rPr>
          <w:color w:val="auto"/>
        </w:rPr>
        <w:fldChar w:fldCharType="begin"/>
      </w:r>
      <w:r>
        <w:rPr>
          <w:color w:val="auto"/>
        </w:rPr>
        <w:instrText xml:space="preserve"> PAGEREF _Toc20550 \h </w:instrText>
      </w:r>
      <w:r>
        <w:rPr>
          <w:color w:val="auto"/>
        </w:rPr>
        <w:fldChar w:fldCharType="separate"/>
      </w:r>
      <w:r>
        <w:rPr>
          <w:color w:val="auto"/>
        </w:rPr>
        <w:t>2</w:t>
      </w:r>
      <w:r>
        <w:rPr>
          <w:color w:val="auto"/>
        </w:rPr>
        <w:fldChar w:fldCharType="end"/>
      </w:r>
      <w:r>
        <w:rPr>
          <w:rFonts w:hint="eastAsia" w:ascii="仿宋" w:hAnsi="仿宋" w:eastAsia="仿宋" w:cs="仿宋"/>
          <w:color w:val="auto"/>
          <w:szCs w:val="24"/>
        </w:rPr>
        <w:fldChar w:fldCharType="end"/>
      </w:r>
    </w:p>
    <w:p w14:paraId="07A12391">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_Toc24185 </w:instrText>
      </w:r>
      <w:r>
        <w:rPr>
          <w:rFonts w:hint="eastAsia" w:ascii="仿宋" w:hAnsi="仿宋" w:eastAsia="仿宋" w:cs="仿宋"/>
          <w:color w:val="auto"/>
          <w:szCs w:val="24"/>
        </w:rPr>
        <w:fldChar w:fldCharType="separate"/>
      </w:r>
      <w:r>
        <w:rPr>
          <w:rFonts w:hint="eastAsia" w:ascii="仿宋" w:hAnsi="仿宋" w:eastAsia="仿宋" w:cs="仿宋"/>
          <w:bCs/>
          <w:color w:val="auto"/>
          <w:szCs w:val="21"/>
          <w:lang w:val="en-US" w:eastAsia="zh-CN"/>
        </w:rPr>
        <w:t>2.1  调查目的和原则</w:t>
      </w:r>
      <w:r>
        <w:rPr>
          <w:color w:val="auto"/>
        </w:rPr>
        <w:tab/>
      </w:r>
      <w:r>
        <w:rPr>
          <w:color w:val="auto"/>
        </w:rPr>
        <w:fldChar w:fldCharType="begin"/>
      </w:r>
      <w:r>
        <w:rPr>
          <w:color w:val="auto"/>
        </w:rPr>
        <w:instrText xml:space="preserve"> PAGEREF _Toc24185 \h </w:instrText>
      </w:r>
      <w:r>
        <w:rPr>
          <w:color w:val="auto"/>
        </w:rPr>
        <w:fldChar w:fldCharType="separate"/>
      </w:r>
      <w:r>
        <w:rPr>
          <w:color w:val="auto"/>
        </w:rPr>
        <w:t>2</w:t>
      </w:r>
      <w:r>
        <w:rPr>
          <w:color w:val="auto"/>
        </w:rPr>
        <w:fldChar w:fldCharType="end"/>
      </w:r>
      <w:r>
        <w:rPr>
          <w:rFonts w:hint="eastAsia" w:ascii="仿宋" w:hAnsi="仿宋" w:eastAsia="仿宋" w:cs="仿宋"/>
          <w:color w:val="auto"/>
          <w:szCs w:val="24"/>
        </w:rPr>
        <w:fldChar w:fldCharType="end"/>
      </w:r>
    </w:p>
    <w:p w14:paraId="5B00FD78">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_Toc347 </w:instrText>
      </w:r>
      <w:r>
        <w:rPr>
          <w:rFonts w:hint="eastAsia" w:ascii="仿宋" w:hAnsi="仿宋" w:eastAsia="仿宋" w:cs="仿宋"/>
          <w:color w:val="auto"/>
          <w:szCs w:val="24"/>
        </w:rPr>
        <w:fldChar w:fldCharType="separate"/>
      </w:r>
      <w:r>
        <w:rPr>
          <w:rFonts w:hint="eastAsia" w:ascii="仿宋" w:hAnsi="仿宋" w:eastAsia="仿宋" w:cs="仿宋"/>
          <w:bCs/>
          <w:color w:val="auto"/>
          <w:szCs w:val="21"/>
          <w:lang w:val="en-US" w:eastAsia="zh-CN"/>
        </w:rPr>
        <w:t>2.2  调查范围</w:t>
      </w:r>
      <w:r>
        <w:rPr>
          <w:color w:val="auto"/>
        </w:rPr>
        <w:tab/>
      </w:r>
      <w:r>
        <w:rPr>
          <w:color w:val="auto"/>
        </w:rPr>
        <w:fldChar w:fldCharType="begin"/>
      </w:r>
      <w:r>
        <w:rPr>
          <w:color w:val="auto"/>
        </w:rPr>
        <w:instrText xml:space="preserve"> PAGEREF _Toc347 \h </w:instrText>
      </w:r>
      <w:r>
        <w:rPr>
          <w:color w:val="auto"/>
        </w:rPr>
        <w:fldChar w:fldCharType="separate"/>
      </w:r>
      <w:r>
        <w:rPr>
          <w:color w:val="auto"/>
        </w:rPr>
        <w:t>2</w:t>
      </w:r>
      <w:r>
        <w:rPr>
          <w:color w:val="auto"/>
        </w:rPr>
        <w:fldChar w:fldCharType="end"/>
      </w:r>
      <w:r>
        <w:rPr>
          <w:rFonts w:hint="eastAsia" w:ascii="仿宋" w:hAnsi="仿宋" w:eastAsia="仿宋" w:cs="仿宋"/>
          <w:color w:val="auto"/>
          <w:szCs w:val="24"/>
        </w:rPr>
        <w:fldChar w:fldCharType="end"/>
      </w:r>
    </w:p>
    <w:p w14:paraId="01A1723B">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_Toc27635 </w:instrText>
      </w:r>
      <w:r>
        <w:rPr>
          <w:rFonts w:hint="eastAsia" w:ascii="仿宋" w:hAnsi="仿宋" w:eastAsia="仿宋" w:cs="仿宋"/>
          <w:color w:val="auto"/>
          <w:szCs w:val="24"/>
        </w:rPr>
        <w:fldChar w:fldCharType="separate"/>
      </w:r>
      <w:r>
        <w:rPr>
          <w:rFonts w:hint="eastAsia" w:ascii="仿宋" w:hAnsi="仿宋" w:eastAsia="仿宋" w:cs="仿宋"/>
          <w:bCs/>
          <w:color w:val="auto"/>
          <w:szCs w:val="21"/>
          <w:lang w:val="en-US" w:eastAsia="zh-CN"/>
        </w:rPr>
        <w:t>2.3  调查依据</w:t>
      </w:r>
      <w:r>
        <w:rPr>
          <w:color w:val="auto"/>
        </w:rPr>
        <w:tab/>
      </w:r>
      <w:r>
        <w:rPr>
          <w:color w:val="auto"/>
        </w:rPr>
        <w:fldChar w:fldCharType="begin"/>
      </w:r>
      <w:r>
        <w:rPr>
          <w:color w:val="auto"/>
        </w:rPr>
        <w:instrText xml:space="preserve"> PAGEREF _Toc27635 \h </w:instrText>
      </w:r>
      <w:r>
        <w:rPr>
          <w:color w:val="auto"/>
        </w:rPr>
        <w:fldChar w:fldCharType="separate"/>
      </w:r>
      <w:r>
        <w:rPr>
          <w:color w:val="auto"/>
        </w:rPr>
        <w:t>5</w:t>
      </w:r>
      <w:r>
        <w:rPr>
          <w:color w:val="auto"/>
        </w:rPr>
        <w:fldChar w:fldCharType="end"/>
      </w:r>
      <w:r>
        <w:rPr>
          <w:rFonts w:hint="eastAsia" w:ascii="仿宋" w:hAnsi="仿宋" w:eastAsia="仿宋" w:cs="仿宋"/>
          <w:color w:val="auto"/>
          <w:szCs w:val="24"/>
        </w:rPr>
        <w:fldChar w:fldCharType="end"/>
      </w:r>
    </w:p>
    <w:p w14:paraId="11862B79">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_Toc16225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2.4  调查方法</w:t>
      </w:r>
      <w:r>
        <w:rPr>
          <w:color w:val="auto"/>
        </w:rPr>
        <w:tab/>
      </w:r>
      <w:r>
        <w:rPr>
          <w:color w:val="auto"/>
        </w:rPr>
        <w:fldChar w:fldCharType="begin"/>
      </w:r>
      <w:r>
        <w:rPr>
          <w:color w:val="auto"/>
        </w:rPr>
        <w:instrText xml:space="preserve"> PAGEREF _Toc16225 \h </w:instrText>
      </w:r>
      <w:r>
        <w:rPr>
          <w:color w:val="auto"/>
        </w:rPr>
        <w:fldChar w:fldCharType="separate"/>
      </w:r>
      <w:r>
        <w:rPr>
          <w:color w:val="auto"/>
        </w:rPr>
        <w:t>8</w:t>
      </w:r>
      <w:r>
        <w:rPr>
          <w:color w:val="auto"/>
        </w:rPr>
        <w:fldChar w:fldCharType="end"/>
      </w:r>
      <w:r>
        <w:rPr>
          <w:rFonts w:hint="eastAsia" w:ascii="仿宋" w:hAnsi="仿宋" w:eastAsia="仿宋" w:cs="仿宋"/>
          <w:color w:val="auto"/>
          <w:szCs w:val="24"/>
        </w:rPr>
        <w:fldChar w:fldCharType="end"/>
      </w:r>
    </w:p>
    <w:p w14:paraId="21BEC673">
      <w:pPr>
        <w:pStyle w:val="9"/>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_Toc9384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36"/>
          <w:lang w:val="en-US" w:eastAsia="zh-CN"/>
        </w:rPr>
        <w:t>3  地块概况</w:t>
      </w:r>
      <w:r>
        <w:rPr>
          <w:color w:val="auto"/>
        </w:rPr>
        <w:tab/>
      </w:r>
      <w:r>
        <w:rPr>
          <w:color w:val="auto"/>
        </w:rPr>
        <w:fldChar w:fldCharType="begin"/>
      </w:r>
      <w:r>
        <w:rPr>
          <w:color w:val="auto"/>
        </w:rPr>
        <w:instrText xml:space="preserve"> PAGEREF _Toc9384 \h </w:instrText>
      </w:r>
      <w:r>
        <w:rPr>
          <w:color w:val="auto"/>
        </w:rPr>
        <w:fldChar w:fldCharType="separate"/>
      </w:r>
      <w:r>
        <w:rPr>
          <w:color w:val="auto"/>
        </w:rPr>
        <w:t>11</w:t>
      </w:r>
      <w:r>
        <w:rPr>
          <w:color w:val="auto"/>
        </w:rPr>
        <w:fldChar w:fldCharType="end"/>
      </w:r>
      <w:r>
        <w:rPr>
          <w:rFonts w:hint="eastAsia" w:ascii="仿宋" w:hAnsi="仿宋" w:eastAsia="仿宋" w:cs="仿宋"/>
          <w:color w:val="auto"/>
          <w:szCs w:val="24"/>
        </w:rPr>
        <w:fldChar w:fldCharType="end"/>
      </w:r>
    </w:p>
    <w:p w14:paraId="381E2BB5">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_Toc19085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3.1 区域环境状况</w:t>
      </w:r>
      <w:r>
        <w:rPr>
          <w:color w:val="auto"/>
        </w:rPr>
        <w:tab/>
      </w:r>
      <w:r>
        <w:rPr>
          <w:color w:val="auto"/>
        </w:rPr>
        <w:fldChar w:fldCharType="begin"/>
      </w:r>
      <w:r>
        <w:rPr>
          <w:color w:val="auto"/>
        </w:rPr>
        <w:instrText xml:space="preserve"> PAGEREF _Toc19085 \h </w:instrText>
      </w:r>
      <w:r>
        <w:rPr>
          <w:color w:val="auto"/>
        </w:rPr>
        <w:fldChar w:fldCharType="separate"/>
      </w:r>
      <w:r>
        <w:rPr>
          <w:color w:val="auto"/>
        </w:rPr>
        <w:t>11</w:t>
      </w:r>
      <w:r>
        <w:rPr>
          <w:color w:val="auto"/>
        </w:rPr>
        <w:fldChar w:fldCharType="end"/>
      </w:r>
      <w:r>
        <w:rPr>
          <w:rFonts w:hint="eastAsia" w:ascii="仿宋" w:hAnsi="仿宋" w:eastAsia="仿宋" w:cs="仿宋"/>
          <w:color w:val="auto"/>
          <w:szCs w:val="24"/>
        </w:rPr>
        <w:fldChar w:fldCharType="end"/>
      </w:r>
    </w:p>
    <w:p w14:paraId="72A5914E">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_Toc14945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3.2 敏感目标</w:t>
      </w:r>
      <w:r>
        <w:rPr>
          <w:color w:val="auto"/>
        </w:rPr>
        <w:tab/>
      </w:r>
      <w:r>
        <w:rPr>
          <w:color w:val="auto"/>
        </w:rPr>
        <w:fldChar w:fldCharType="begin"/>
      </w:r>
      <w:r>
        <w:rPr>
          <w:color w:val="auto"/>
        </w:rPr>
        <w:instrText xml:space="preserve"> PAGEREF _Toc14945 \h </w:instrText>
      </w:r>
      <w:r>
        <w:rPr>
          <w:color w:val="auto"/>
        </w:rPr>
        <w:fldChar w:fldCharType="separate"/>
      </w:r>
      <w:r>
        <w:rPr>
          <w:color w:val="auto"/>
        </w:rPr>
        <w:t>20</w:t>
      </w:r>
      <w:r>
        <w:rPr>
          <w:color w:val="auto"/>
        </w:rPr>
        <w:fldChar w:fldCharType="end"/>
      </w:r>
      <w:r>
        <w:rPr>
          <w:rFonts w:hint="eastAsia" w:ascii="仿宋" w:hAnsi="仿宋" w:eastAsia="仿宋" w:cs="仿宋"/>
          <w:color w:val="auto"/>
          <w:szCs w:val="24"/>
        </w:rPr>
        <w:fldChar w:fldCharType="end"/>
      </w:r>
    </w:p>
    <w:p w14:paraId="0B5699DE">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_Toc24134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3.3 地块的使用现状和历史</w:t>
      </w:r>
      <w:r>
        <w:rPr>
          <w:color w:val="auto"/>
        </w:rPr>
        <w:tab/>
      </w:r>
      <w:r>
        <w:rPr>
          <w:color w:val="auto"/>
        </w:rPr>
        <w:fldChar w:fldCharType="begin"/>
      </w:r>
      <w:r>
        <w:rPr>
          <w:color w:val="auto"/>
        </w:rPr>
        <w:instrText xml:space="preserve"> PAGEREF _Toc24134 \h </w:instrText>
      </w:r>
      <w:r>
        <w:rPr>
          <w:color w:val="auto"/>
        </w:rPr>
        <w:fldChar w:fldCharType="separate"/>
      </w:r>
      <w:r>
        <w:rPr>
          <w:color w:val="auto"/>
        </w:rPr>
        <w:t>22</w:t>
      </w:r>
      <w:r>
        <w:rPr>
          <w:color w:val="auto"/>
        </w:rPr>
        <w:fldChar w:fldCharType="end"/>
      </w:r>
      <w:r>
        <w:rPr>
          <w:rFonts w:hint="eastAsia" w:ascii="仿宋" w:hAnsi="仿宋" w:eastAsia="仿宋" w:cs="仿宋"/>
          <w:color w:val="auto"/>
          <w:szCs w:val="24"/>
        </w:rPr>
        <w:fldChar w:fldCharType="end"/>
      </w:r>
    </w:p>
    <w:p w14:paraId="055780B4">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_Toc4263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3.4 相邻地块的使用现状和历史</w:t>
      </w:r>
      <w:r>
        <w:rPr>
          <w:color w:val="auto"/>
        </w:rPr>
        <w:tab/>
      </w:r>
      <w:r>
        <w:rPr>
          <w:color w:val="auto"/>
        </w:rPr>
        <w:fldChar w:fldCharType="begin"/>
      </w:r>
      <w:r>
        <w:rPr>
          <w:color w:val="auto"/>
        </w:rPr>
        <w:instrText xml:space="preserve"> PAGEREF _Toc4263 \h </w:instrText>
      </w:r>
      <w:r>
        <w:rPr>
          <w:color w:val="auto"/>
        </w:rPr>
        <w:fldChar w:fldCharType="separate"/>
      </w:r>
      <w:r>
        <w:rPr>
          <w:color w:val="auto"/>
        </w:rPr>
        <w:t>29</w:t>
      </w:r>
      <w:r>
        <w:rPr>
          <w:color w:val="auto"/>
        </w:rPr>
        <w:fldChar w:fldCharType="end"/>
      </w:r>
      <w:r>
        <w:rPr>
          <w:rFonts w:hint="eastAsia" w:ascii="仿宋" w:hAnsi="仿宋" w:eastAsia="仿宋" w:cs="仿宋"/>
          <w:color w:val="auto"/>
          <w:szCs w:val="24"/>
        </w:rPr>
        <w:fldChar w:fldCharType="end"/>
      </w:r>
    </w:p>
    <w:p w14:paraId="2DA5F233">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_Toc30406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3.5 人员访谈</w:t>
      </w:r>
      <w:r>
        <w:rPr>
          <w:color w:val="auto"/>
        </w:rPr>
        <w:tab/>
      </w:r>
      <w:r>
        <w:rPr>
          <w:color w:val="auto"/>
        </w:rPr>
        <w:fldChar w:fldCharType="begin"/>
      </w:r>
      <w:r>
        <w:rPr>
          <w:color w:val="auto"/>
        </w:rPr>
        <w:instrText xml:space="preserve"> PAGEREF _Toc30406 \h </w:instrText>
      </w:r>
      <w:r>
        <w:rPr>
          <w:color w:val="auto"/>
        </w:rPr>
        <w:fldChar w:fldCharType="separate"/>
      </w:r>
      <w:r>
        <w:rPr>
          <w:color w:val="auto"/>
        </w:rPr>
        <w:t>40</w:t>
      </w:r>
      <w:r>
        <w:rPr>
          <w:color w:val="auto"/>
        </w:rPr>
        <w:fldChar w:fldCharType="end"/>
      </w:r>
      <w:r>
        <w:rPr>
          <w:rFonts w:hint="eastAsia" w:ascii="仿宋" w:hAnsi="仿宋" w:eastAsia="仿宋" w:cs="仿宋"/>
          <w:color w:val="auto"/>
          <w:szCs w:val="24"/>
        </w:rPr>
        <w:fldChar w:fldCharType="end"/>
      </w:r>
    </w:p>
    <w:p w14:paraId="0021E747">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_Toc1617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3.6地块规划</w:t>
      </w:r>
      <w:r>
        <w:rPr>
          <w:color w:val="auto"/>
        </w:rPr>
        <w:tab/>
      </w:r>
      <w:r>
        <w:rPr>
          <w:color w:val="auto"/>
        </w:rPr>
        <w:fldChar w:fldCharType="begin"/>
      </w:r>
      <w:r>
        <w:rPr>
          <w:color w:val="auto"/>
        </w:rPr>
        <w:instrText xml:space="preserve"> PAGEREF _Toc1617 \h </w:instrText>
      </w:r>
      <w:r>
        <w:rPr>
          <w:color w:val="auto"/>
        </w:rPr>
        <w:fldChar w:fldCharType="separate"/>
      </w:r>
      <w:r>
        <w:rPr>
          <w:color w:val="auto"/>
        </w:rPr>
        <w:t>48</w:t>
      </w:r>
      <w:r>
        <w:rPr>
          <w:color w:val="auto"/>
        </w:rPr>
        <w:fldChar w:fldCharType="end"/>
      </w:r>
      <w:r>
        <w:rPr>
          <w:rFonts w:hint="eastAsia" w:ascii="仿宋" w:hAnsi="仿宋" w:eastAsia="仿宋" w:cs="仿宋"/>
          <w:color w:val="auto"/>
          <w:szCs w:val="24"/>
        </w:rPr>
        <w:fldChar w:fldCharType="end"/>
      </w:r>
    </w:p>
    <w:p w14:paraId="1F86B9C2">
      <w:pPr>
        <w:pStyle w:val="9"/>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_Toc9448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36"/>
          <w:lang w:val="en-US" w:eastAsia="zh-CN"/>
        </w:rPr>
        <w:t>4  地块污染识别及分析</w:t>
      </w:r>
      <w:r>
        <w:rPr>
          <w:color w:val="auto"/>
        </w:rPr>
        <w:tab/>
      </w:r>
      <w:r>
        <w:rPr>
          <w:color w:val="auto"/>
        </w:rPr>
        <w:fldChar w:fldCharType="begin"/>
      </w:r>
      <w:r>
        <w:rPr>
          <w:color w:val="auto"/>
        </w:rPr>
        <w:instrText xml:space="preserve"> PAGEREF _Toc9448 \h </w:instrText>
      </w:r>
      <w:r>
        <w:rPr>
          <w:color w:val="auto"/>
        </w:rPr>
        <w:fldChar w:fldCharType="separate"/>
      </w:r>
      <w:r>
        <w:rPr>
          <w:color w:val="auto"/>
        </w:rPr>
        <w:t>52</w:t>
      </w:r>
      <w:r>
        <w:rPr>
          <w:color w:val="auto"/>
        </w:rPr>
        <w:fldChar w:fldCharType="end"/>
      </w:r>
      <w:r>
        <w:rPr>
          <w:rFonts w:hint="eastAsia" w:ascii="仿宋" w:hAnsi="仿宋" w:eastAsia="仿宋" w:cs="仿宋"/>
          <w:color w:val="auto"/>
          <w:szCs w:val="24"/>
        </w:rPr>
        <w:fldChar w:fldCharType="end"/>
      </w:r>
    </w:p>
    <w:p w14:paraId="30D6EA7C">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_Toc26795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4.1污染识别的目的</w:t>
      </w:r>
      <w:r>
        <w:rPr>
          <w:color w:val="auto"/>
        </w:rPr>
        <w:tab/>
      </w:r>
      <w:r>
        <w:rPr>
          <w:color w:val="auto"/>
        </w:rPr>
        <w:fldChar w:fldCharType="begin"/>
      </w:r>
      <w:r>
        <w:rPr>
          <w:color w:val="auto"/>
        </w:rPr>
        <w:instrText xml:space="preserve"> PAGEREF _Toc26795 \h </w:instrText>
      </w:r>
      <w:r>
        <w:rPr>
          <w:color w:val="auto"/>
        </w:rPr>
        <w:fldChar w:fldCharType="separate"/>
      </w:r>
      <w:r>
        <w:rPr>
          <w:color w:val="auto"/>
        </w:rPr>
        <w:t>52</w:t>
      </w:r>
      <w:r>
        <w:rPr>
          <w:color w:val="auto"/>
        </w:rPr>
        <w:fldChar w:fldCharType="end"/>
      </w:r>
      <w:r>
        <w:rPr>
          <w:rFonts w:hint="eastAsia" w:ascii="仿宋" w:hAnsi="仿宋" w:eastAsia="仿宋" w:cs="仿宋"/>
          <w:color w:val="auto"/>
          <w:szCs w:val="24"/>
        </w:rPr>
        <w:fldChar w:fldCharType="end"/>
      </w:r>
    </w:p>
    <w:p w14:paraId="35C72A9A">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_Toc26940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4.2资料收集结果</w:t>
      </w:r>
      <w:r>
        <w:rPr>
          <w:color w:val="auto"/>
        </w:rPr>
        <w:tab/>
      </w:r>
      <w:r>
        <w:rPr>
          <w:color w:val="auto"/>
        </w:rPr>
        <w:fldChar w:fldCharType="begin"/>
      </w:r>
      <w:r>
        <w:rPr>
          <w:color w:val="auto"/>
        </w:rPr>
        <w:instrText xml:space="preserve"> PAGEREF _Toc26940 \h </w:instrText>
      </w:r>
      <w:r>
        <w:rPr>
          <w:color w:val="auto"/>
        </w:rPr>
        <w:fldChar w:fldCharType="separate"/>
      </w:r>
      <w:r>
        <w:rPr>
          <w:color w:val="auto"/>
        </w:rPr>
        <w:t>52</w:t>
      </w:r>
      <w:r>
        <w:rPr>
          <w:color w:val="auto"/>
        </w:rPr>
        <w:fldChar w:fldCharType="end"/>
      </w:r>
      <w:r>
        <w:rPr>
          <w:rFonts w:hint="eastAsia" w:ascii="仿宋" w:hAnsi="仿宋" w:eastAsia="仿宋" w:cs="仿宋"/>
          <w:color w:val="auto"/>
          <w:szCs w:val="24"/>
        </w:rPr>
        <w:fldChar w:fldCharType="end"/>
      </w:r>
    </w:p>
    <w:p w14:paraId="33195694">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_Toc6354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4.3 地块生产活动介绍及污染物识别</w:t>
      </w:r>
      <w:r>
        <w:rPr>
          <w:color w:val="auto"/>
        </w:rPr>
        <w:tab/>
      </w:r>
      <w:r>
        <w:rPr>
          <w:color w:val="auto"/>
        </w:rPr>
        <w:fldChar w:fldCharType="begin"/>
      </w:r>
      <w:r>
        <w:rPr>
          <w:color w:val="auto"/>
        </w:rPr>
        <w:instrText xml:space="preserve"> PAGEREF _Toc6354 \h </w:instrText>
      </w:r>
      <w:r>
        <w:rPr>
          <w:color w:val="auto"/>
        </w:rPr>
        <w:fldChar w:fldCharType="separate"/>
      </w:r>
      <w:r>
        <w:rPr>
          <w:color w:val="auto"/>
        </w:rPr>
        <w:t>53</w:t>
      </w:r>
      <w:r>
        <w:rPr>
          <w:color w:val="auto"/>
        </w:rPr>
        <w:fldChar w:fldCharType="end"/>
      </w:r>
      <w:r>
        <w:rPr>
          <w:rFonts w:hint="eastAsia" w:ascii="仿宋" w:hAnsi="仿宋" w:eastAsia="仿宋" w:cs="仿宋"/>
          <w:color w:val="auto"/>
          <w:szCs w:val="24"/>
        </w:rPr>
        <w:fldChar w:fldCharType="end"/>
      </w:r>
    </w:p>
    <w:p w14:paraId="06835413">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_Toc12070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4.4周边地块生产活动情况及污染识别</w:t>
      </w:r>
      <w:r>
        <w:rPr>
          <w:color w:val="auto"/>
        </w:rPr>
        <w:tab/>
      </w:r>
      <w:r>
        <w:rPr>
          <w:color w:val="auto"/>
        </w:rPr>
        <w:fldChar w:fldCharType="begin"/>
      </w:r>
      <w:r>
        <w:rPr>
          <w:color w:val="auto"/>
        </w:rPr>
        <w:instrText xml:space="preserve"> PAGEREF _Toc12070 \h </w:instrText>
      </w:r>
      <w:r>
        <w:rPr>
          <w:color w:val="auto"/>
        </w:rPr>
        <w:fldChar w:fldCharType="separate"/>
      </w:r>
      <w:r>
        <w:rPr>
          <w:color w:val="auto"/>
        </w:rPr>
        <w:t>54</w:t>
      </w:r>
      <w:r>
        <w:rPr>
          <w:color w:val="auto"/>
        </w:rPr>
        <w:fldChar w:fldCharType="end"/>
      </w:r>
      <w:r>
        <w:rPr>
          <w:rFonts w:hint="eastAsia" w:ascii="仿宋" w:hAnsi="仿宋" w:eastAsia="仿宋" w:cs="仿宋"/>
          <w:color w:val="auto"/>
          <w:szCs w:val="24"/>
        </w:rPr>
        <w:fldChar w:fldCharType="end"/>
      </w:r>
    </w:p>
    <w:p w14:paraId="7761744C">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_Toc8548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4.5调查资料关联性分析</w:t>
      </w:r>
      <w:r>
        <w:rPr>
          <w:color w:val="auto"/>
        </w:rPr>
        <w:tab/>
      </w:r>
      <w:r>
        <w:rPr>
          <w:color w:val="auto"/>
        </w:rPr>
        <w:fldChar w:fldCharType="begin"/>
      </w:r>
      <w:r>
        <w:rPr>
          <w:color w:val="auto"/>
        </w:rPr>
        <w:instrText xml:space="preserve"> PAGEREF _Toc8548 \h </w:instrText>
      </w:r>
      <w:r>
        <w:rPr>
          <w:color w:val="auto"/>
        </w:rPr>
        <w:fldChar w:fldCharType="separate"/>
      </w:r>
      <w:r>
        <w:rPr>
          <w:color w:val="auto"/>
        </w:rPr>
        <w:t>111</w:t>
      </w:r>
      <w:r>
        <w:rPr>
          <w:color w:val="auto"/>
        </w:rPr>
        <w:fldChar w:fldCharType="end"/>
      </w:r>
      <w:r>
        <w:rPr>
          <w:rFonts w:hint="eastAsia" w:ascii="仿宋" w:hAnsi="仿宋" w:eastAsia="仿宋" w:cs="仿宋"/>
          <w:color w:val="auto"/>
          <w:szCs w:val="24"/>
        </w:rPr>
        <w:fldChar w:fldCharType="end"/>
      </w:r>
    </w:p>
    <w:p w14:paraId="477F6D55">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_Toc8874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4.6第一阶段土壤污染状况调查总结</w:t>
      </w:r>
      <w:r>
        <w:rPr>
          <w:color w:val="auto"/>
        </w:rPr>
        <w:tab/>
      </w:r>
      <w:r>
        <w:rPr>
          <w:color w:val="auto"/>
        </w:rPr>
        <w:fldChar w:fldCharType="begin"/>
      </w:r>
      <w:r>
        <w:rPr>
          <w:color w:val="auto"/>
        </w:rPr>
        <w:instrText xml:space="preserve"> PAGEREF _Toc8874 \h </w:instrText>
      </w:r>
      <w:r>
        <w:rPr>
          <w:color w:val="auto"/>
        </w:rPr>
        <w:fldChar w:fldCharType="separate"/>
      </w:r>
      <w:r>
        <w:rPr>
          <w:color w:val="auto"/>
        </w:rPr>
        <w:t>113</w:t>
      </w:r>
      <w:r>
        <w:rPr>
          <w:color w:val="auto"/>
        </w:rPr>
        <w:fldChar w:fldCharType="end"/>
      </w:r>
      <w:r>
        <w:rPr>
          <w:rFonts w:hint="eastAsia" w:ascii="仿宋" w:hAnsi="仿宋" w:eastAsia="仿宋" w:cs="仿宋"/>
          <w:color w:val="auto"/>
          <w:szCs w:val="24"/>
        </w:rPr>
        <w:fldChar w:fldCharType="end"/>
      </w:r>
    </w:p>
    <w:p w14:paraId="3B6514F6">
      <w:pPr>
        <w:pStyle w:val="9"/>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_Toc28613 </w:instrText>
      </w:r>
      <w:r>
        <w:rPr>
          <w:rFonts w:hint="eastAsia" w:ascii="仿宋" w:hAnsi="仿宋" w:eastAsia="仿宋" w:cs="仿宋"/>
          <w:color w:val="auto"/>
          <w:szCs w:val="24"/>
        </w:rPr>
        <w:fldChar w:fldCharType="separate"/>
      </w:r>
      <w:r>
        <w:rPr>
          <w:rFonts w:hint="eastAsia" w:ascii="仿宋" w:hAnsi="仿宋" w:eastAsia="仿宋" w:cs="仿宋"/>
          <w:bCs w:val="0"/>
          <w:color w:val="auto"/>
          <w:kern w:val="0"/>
          <w:szCs w:val="36"/>
          <w:lang w:val="en-US" w:eastAsia="zh-CN" w:bidi="zh-CN"/>
        </w:rPr>
        <w:t>5  工作计划</w:t>
      </w:r>
      <w:r>
        <w:rPr>
          <w:color w:val="auto"/>
        </w:rPr>
        <w:tab/>
      </w:r>
      <w:r>
        <w:rPr>
          <w:color w:val="auto"/>
        </w:rPr>
        <w:fldChar w:fldCharType="begin"/>
      </w:r>
      <w:r>
        <w:rPr>
          <w:color w:val="auto"/>
        </w:rPr>
        <w:instrText xml:space="preserve"> PAGEREF _Toc28613 \h </w:instrText>
      </w:r>
      <w:r>
        <w:rPr>
          <w:color w:val="auto"/>
        </w:rPr>
        <w:fldChar w:fldCharType="separate"/>
      </w:r>
      <w:r>
        <w:rPr>
          <w:color w:val="auto"/>
        </w:rPr>
        <w:t>116</w:t>
      </w:r>
      <w:r>
        <w:rPr>
          <w:color w:val="auto"/>
        </w:rPr>
        <w:fldChar w:fldCharType="end"/>
      </w:r>
      <w:r>
        <w:rPr>
          <w:rFonts w:hint="eastAsia" w:ascii="仿宋" w:hAnsi="仿宋" w:eastAsia="仿宋" w:cs="仿宋"/>
          <w:color w:val="auto"/>
          <w:szCs w:val="24"/>
        </w:rPr>
        <w:fldChar w:fldCharType="end"/>
      </w:r>
    </w:p>
    <w:p w14:paraId="761F69E3">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_Toc19168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5.1 采样方案</w:t>
      </w:r>
      <w:r>
        <w:rPr>
          <w:color w:val="auto"/>
        </w:rPr>
        <w:tab/>
      </w:r>
      <w:r>
        <w:rPr>
          <w:color w:val="auto"/>
        </w:rPr>
        <w:fldChar w:fldCharType="begin"/>
      </w:r>
      <w:r>
        <w:rPr>
          <w:color w:val="auto"/>
        </w:rPr>
        <w:instrText xml:space="preserve"> PAGEREF _Toc19168 \h </w:instrText>
      </w:r>
      <w:r>
        <w:rPr>
          <w:color w:val="auto"/>
        </w:rPr>
        <w:fldChar w:fldCharType="separate"/>
      </w:r>
      <w:r>
        <w:rPr>
          <w:color w:val="auto"/>
        </w:rPr>
        <w:t>116</w:t>
      </w:r>
      <w:r>
        <w:rPr>
          <w:color w:val="auto"/>
        </w:rPr>
        <w:fldChar w:fldCharType="end"/>
      </w:r>
      <w:r>
        <w:rPr>
          <w:rFonts w:hint="eastAsia" w:ascii="仿宋" w:hAnsi="仿宋" w:eastAsia="仿宋" w:cs="仿宋"/>
          <w:color w:val="auto"/>
          <w:szCs w:val="24"/>
        </w:rPr>
        <w:fldChar w:fldCharType="end"/>
      </w:r>
    </w:p>
    <w:p w14:paraId="4AA9239C">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_Toc4792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5.2 分析检测方案</w:t>
      </w:r>
      <w:r>
        <w:rPr>
          <w:color w:val="auto"/>
        </w:rPr>
        <w:tab/>
      </w:r>
      <w:r>
        <w:rPr>
          <w:color w:val="auto"/>
        </w:rPr>
        <w:fldChar w:fldCharType="begin"/>
      </w:r>
      <w:r>
        <w:rPr>
          <w:color w:val="auto"/>
        </w:rPr>
        <w:instrText xml:space="preserve"> PAGEREF _Toc4792 \h </w:instrText>
      </w:r>
      <w:r>
        <w:rPr>
          <w:color w:val="auto"/>
        </w:rPr>
        <w:fldChar w:fldCharType="separate"/>
      </w:r>
      <w:r>
        <w:rPr>
          <w:color w:val="auto"/>
        </w:rPr>
        <w:t>139</w:t>
      </w:r>
      <w:r>
        <w:rPr>
          <w:color w:val="auto"/>
        </w:rPr>
        <w:fldChar w:fldCharType="end"/>
      </w:r>
      <w:r>
        <w:rPr>
          <w:rFonts w:hint="eastAsia" w:ascii="仿宋" w:hAnsi="仿宋" w:eastAsia="仿宋" w:cs="仿宋"/>
          <w:color w:val="auto"/>
          <w:szCs w:val="24"/>
        </w:rPr>
        <w:fldChar w:fldCharType="end"/>
      </w:r>
    </w:p>
    <w:p w14:paraId="2F8E52DA">
      <w:pPr>
        <w:pStyle w:val="9"/>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_Toc3687 </w:instrText>
      </w:r>
      <w:r>
        <w:rPr>
          <w:rFonts w:hint="eastAsia" w:ascii="仿宋" w:hAnsi="仿宋" w:eastAsia="仿宋" w:cs="仿宋"/>
          <w:color w:val="auto"/>
          <w:szCs w:val="24"/>
        </w:rPr>
        <w:fldChar w:fldCharType="separate"/>
      </w:r>
      <w:r>
        <w:rPr>
          <w:rFonts w:hint="eastAsia" w:ascii="仿宋" w:hAnsi="仿宋" w:eastAsia="仿宋" w:cs="仿宋"/>
          <w:bCs w:val="0"/>
          <w:color w:val="auto"/>
          <w:kern w:val="0"/>
          <w:szCs w:val="36"/>
          <w:lang w:val="en-US" w:eastAsia="zh-CN" w:bidi="zh-CN"/>
        </w:rPr>
        <w:t>6  现场采样和实验室分析</w:t>
      </w:r>
      <w:r>
        <w:rPr>
          <w:color w:val="auto"/>
        </w:rPr>
        <w:tab/>
      </w:r>
      <w:r>
        <w:rPr>
          <w:color w:val="auto"/>
        </w:rPr>
        <w:fldChar w:fldCharType="begin"/>
      </w:r>
      <w:r>
        <w:rPr>
          <w:color w:val="auto"/>
        </w:rPr>
        <w:instrText xml:space="preserve"> PAGEREF _Toc3687 \h </w:instrText>
      </w:r>
      <w:r>
        <w:rPr>
          <w:color w:val="auto"/>
        </w:rPr>
        <w:fldChar w:fldCharType="separate"/>
      </w:r>
      <w:r>
        <w:rPr>
          <w:color w:val="auto"/>
        </w:rPr>
        <w:t>140</w:t>
      </w:r>
      <w:r>
        <w:rPr>
          <w:color w:val="auto"/>
        </w:rPr>
        <w:fldChar w:fldCharType="end"/>
      </w:r>
      <w:r>
        <w:rPr>
          <w:rFonts w:hint="eastAsia" w:ascii="仿宋" w:hAnsi="仿宋" w:eastAsia="仿宋" w:cs="仿宋"/>
          <w:color w:val="auto"/>
          <w:szCs w:val="24"/>
        </w:rPr>
        <w:fldChar w:fldCharType="end"/>
      </w:r>
    </w:p>
    <w:p w14:paraId="1AB7B686">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_Toc17827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6.1 现场探测方法和程序</w:t>
      </w:r>
      <w:r>
        <w:rPr>
          <w:color w:val="auto"/>
        </w:rPr>
        <w:tab/>
      </w:r>
      <w:r>
        <w:rPr>
          <w:color w:val="auto"/>
        </w:rPr>
        <w:fldChar w:fldCharType="begin"/>
      </w:r>
      <w:r>
        <w:rPr>
          <w:color w:val="auto"/>
        </w:rPr>
        <w:instrText xml:space="preserve"> PAGEREF _Toc17827 \h </w:instrText>
      </w:r>
      <w:r>
        <w:rPr>
          <w:color w:val="auto"/>
        </w:rPr>
        <w:fldChar w:fldCharType="separate"/>
      </w:r>
      <w:r>
        <w:rPr>
          <w:color w:val="auto"/>
        </w:rPr>
        <w:t>140</w:t>
      </w:r>
      <w:r>
        <w:rPr>
          <w:color w:val="auto"/>
        </w:rPr>
        <w:fldChar w:fldCharType="end"/>
      </w:r>
      <w:r>
        <w:rPr>
          <w:rFonts w:hint="eastAsia" w:ascii="仿宋" w:hAnsi="仿宋" w:eastAsia="仿宋" w:cs="仿宋"/>
          <w:color w:val="auto"/>
          <w:szCs w:val="24"/>
        </w:rPr>
        <w:fldChar w:fldCharType="end"/>
      </w:r>
    </w:p>
    <w:p w14:paraId="5440171B">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_Toc30025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6.2 采样方法和程序</w:t>
      </w:r>
      <w:r>
        <w:rPr>
          <w:color w:val="auto"/>
        </w:rPr>
        <w:tab/>
      </w:r>
      <w:r>
        <w:rPr>
          <w:color w:val="auto"/>
        </w:rPr>
        <w:fldChar w:fldCharType="begin"/>
      </w:r>
      <w:r>
        <w:rPr>
          <w:color w:val="auto"/>
        </w:rPr>
        <w:instrText xml:space="preserve"> PAGEREF _Toc30025 \h </w:instrText>
      </w:r>
      <w:r>
        <w:rPr>
          <w:color w:val="auto"/>
        </w:rPr>
        <w:fldChar w:fldCharType="separate"/>
      </w:r>
      <w:r>
        <w:rPr>
          <w:color w:val="auto"/>
        </w:rPr>
        <w:t>142</w:t>
      </w:r>
      <w:r>
        <w:rPr>
          <w:color w:val="auto"/>
        </w:rPr>
        <w:fldChar w:fldCharType="end"/>
      </w:r>
      <w:r>
        <w:rPr>
          <w:rFonts w:hint="eastAsia" w:ascii="仿宋" w:hAnsi="仿宋" w:eastAsia="仿宋" w:cs="仿宋"/>
          <w:color w:val="auto"/>
          <w:szCs w:val="24"/>
        </w:rPr>
        <w:fldChar w:fldCharType="end"/>
      </w:r>
    </w:p>
    <w:p w14:paraId="2E6BA81B">
      <w:pPr>
        <w:pStyle w:val="9"/>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_Toc10680 </w:instrText>
      </w:r>
      <w:r>
        <w:rPr>
          <w:rFonts w:hint="eastAsia" w:ascii="仿宋" w:hAnsi="仿宋" w:eastAsia="仿宋" w:cs="仿宋"/>
          <w:color w:val="auto"/>
          <w:szCs w:val="24"/>
        </w:rPr>
        <w:fldChar w:fldCharType="separate"/>
      </w:r>
      <w:r>
        <w:rPr>
          <w:rFonts w:hint="eastAsia" w:ascii="Times New Roman" w:hAnsi="Times New Roman" w:eastAsia="仿宋" w:cs="Times New Roman"/>
          <w:bCs w:val="0"/>
          <w:color w:val="auto"/>
          <w:szCs w:val="36"/>
          <w:lang w:val="en-US" w:eastAsia="zh-CN"/>
        </w:rPr>
        <w:t>7质量保证与质量控制</w:t>
      </w:r>
      <w:r>
        <w:rPr>
          <w:color w:val="auto"/>
        </w:rPr>
        <w:tab/>
      </w:r>
      <w:r>
        <w:rPr>
          <w:color w:val="auto"/>
        </w:rPr>
        <w:fldChar w:fldCharType="begin"/>
      </w:r>
      <w:r>
        <w:rPr>
          <w:color w:val="auto"/>
        </w:rPr>
        <w:instrText xml:space="preserve"> PAGEREF _Toc10680 \h </w:instrText>
      </w:r>
      <w:r>
        <w:rPr>
          <w:color w:val="auto"/>
        </w:rPr>
        <w:fldChar w:fldCharType="separate"/>
      </w:r>
      <w:r>
        <w:rPr>
          <w:color w:val="auto"/>
        </w:rPr>
        <w:t>158</w:t>
      </w:r>
      <w:r>
        <w:rPr>
          <w:color w:val="auto"/>
        </w:rPr>
        <w:fldChar w:fldCharType="end"/>
      </w:r>
      <w:r>
        <w:rPr>
          <w:rFonts w:hint="eastAsia" w:ascii="仿宋" w:hAnsi="仿宋" w:eastAsia="仿宋" w:cs="仿宋"/>
          <w:color w:val="auto"/>
          <w:szCs w:val="24"/>
        </w:rPr>
        <w:fldChar w:fldCharType="end"/>
      </w:r>
    </w:p>
    <w:p w14:paraId="43C99A4B">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_Toc14326 </w:instrText>
      </w:r>
      <w:r>
        <w:rPr>
          <w:rFonts w:hint="eastAsia" w:ascii="仿宋" w:hAnsi="仿宋" w:eastAsia="仿宋" w:cs="仿宋"/>
          <w:color w:val="auto"/>
          <w:szCs w:val="24"/>
        </w:rPr>
        <w:fldChar w:fldCharType="separate"/>
      </w:r>
      <w:r>
        <w:rPr>
          <w:rFonts w:hint="eastAsia" w:ascii="Times New Roman" w:hAnsi="Times New Roman" w:eastAsia="仿宋" w:cs="Times New Roman"/>
          <w:bCs w:val="0"/>
          <w:color w:val="auto"/>
          <w:szCs w:val="30"/>
          <w:lang w:val="en-US" w:eastAsia="zh-CN"/>
        </w:rPr>
        <w:t>7.1质量保证与质量控制工作组情况</w:t>
      </w:r>
      <w:r>
        <w:rPr>
          <w:color w:val="auto"/>
        </w:rPr>
        <w:tab/>
      </w:r>
      <w:r>
        <w:rPr>
          <w:color w:val="auto"/>
        </w:rPr>
        <w:fldChar w:fldCharType="begin"/>
      </w:r>
      <w:r>
        <w:rPr>
          <w:color w:val="auto"/>
        </w:rPr>
        <w:instrText xml:space="preserve"> PAGEREF _Toc14326 \h </w:instrText>
      </w:r>
      <w:r>
        <w:rPr>
          <w:color w:val="auto"/>
        </w:rPr>
        <w:fldChar w:fldCharType="separate"/>
      </w:r>
      <w:r>
        <w:rPr>
          <w:color w:val="auto"/>
        </w:rPr>
        <w:t>158</w:t>
      </w:r>
      <w:r>
        <w:rPr>
          <w:color w:val="auto"/>
        </w:rPr>
        <w:fldChar w:fldCharType="end"/>
      </w:r>
      <w:r>
        <w:rPr>
          <w:rFonts w:hint="eastAsia" w:ascii="仿宋" w:hAnsi="仿宋" w:eastAsia="仿宋" w:cs="仿宋"/>
          <w:color w:val="auto"/>
          <w:szCs w:val="24"/>
        </w:rPr>
        <w:fldChar w:fldCharType="end"/>
      </w:r>
    </w:p>
    <w:p w14:paraId="06E7ECB0">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_Toc27019 </w:instrText>
      </w:r>
      <w:r>
        <w:rPr>
          <w:rFonts w:hint="eastAsia" w:ascii="仿宋" w:hAnsi="仿宋" w:eastAsia="仿宋" w:cs="仿宋"/>
          <w:color w:val="auto"/>
          <w:szCs w:val="24"/>
        </w:rPr>
        <w:fldChar w:fldCharType="separate"/>
      </w:r>
      <w:r>
        <w:rPr>
          <w:rFonts w:hint="eastAsia" w:ascii="Times New Roman" w:hAnsi="Times New Roman" w:eastAsia="仿宋" w:cs="Times New Roman"/>
          <w:bCs w:val="0"/>
          <w:color w:val="auto"/>
          <w:szCs w:val="30"/>
          <w:lang w:val="en-US" w:eastAsia="zh-CN"/>
        </w:rPr>
        <w:t>7.2内部质量保证与质量控制工作情况</w:t>
      </w:r>
      <w:r>
        <w:rPr>
          <w:color w:val="auto"/>
        </w:rPr>
        <w:tab/>
      </w:r>
      <w:r>
        <w:rPr>
          <w:color w:val="auto"/>
        </w:rPr>
        <w:fldChar w:fldCharType="begin"/>
      </w:r>
      <w:r>
        <w:rPr>
          <w:color w:val="auto"/>
        </w:rPr>
        <w:instrText xml:space="preserve"> PAGEREF _Toc27019 \h </w:instrText>
      </w:r>
      <w:r>
        <w:rPr>
          <w:color w:val="auto"/>
        </w:rPr>
        <w:fldChar w:fldCharType="separate"/>
      </w:r>
      <w:r>
        <w:rPr>
          <w:color w:val="auto"/>
        </w:rPr>
        <w:t>162</w:t>
      </w:r>
      <w:r>
        <w:rPr>
          <w:color w:val="auto"/>
        </w:rPr>
        <w:fldChar w:fldCharType="end"/>
      </w:r>
      <w:r>
        <w:rPr>
          <w:rFonts w:hint="eastAsia" w:ascii="仿宋" w:hAnsi="仿宋" w:eastAsia="仿宋" w:cs="仿宋"/>
          <w:color w:val="auto"/>
          <w:szCs w:val="24"/>
        </w:rPr>
        <w:fldChar w:fldCharType="end"/>
      </w:r>
    </w:p>
    <w:p w14:paraId="3DC833EB">
      <w:pPr>
        <w:pStyle w:val="9"/>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_Toc25358 </w:instrText>
      </w:r>
      <w:r>
        <w:rPr>
          <w:rFonts w:hint="eastAsia" w:ascii="仿宋" w:hAnsi="仿宋" w:eastAsia="仿宋" w:cs="仿宋"/>
          <w:color w:val="auto"/>
          <w:szCs w:val="24"/>
        </w:rPr>
        <w:fldChar w:fldCharType="separate"/>
      </w:r>
      <w:r>
        <w:rPr>
          <w:rFonts w:hint="eastAsia" w:ascii="仿宋" w:hAnsi="仿宋" w:eastAsia="仿宋" w:cs="仿宋"/>
          <w:bCs w:val="0"/>
          <w:color w:val="auto"/>
          <w:kern w:val="0"/>
          <w:szCs w:val="36"/>
          <w:lang w:val="en-US" w:eastAsia="zh-CN" w:bidi="zh-CN"/>
        </w:rPr>
        <w:t>8  结果和评价</w:t>
      </w:r>
      <w:r>
        <w:rPr>
          <w:color w:val="auto"/>
        </w:rPr>
        <w:tab/>
      </w:r>
      <w:r>
        <w:rPr>
          <w:color w:val="auto"/>
        </w:rPr>
        <w:fldChar w:fldCharType="begin"/>
      </w:r>
      <w:r>
        <w:rPr>
          <w:color w:val="auto"/>
        </w:rPr>
        <w:instrText xml:space="preserve"> PAGEREF _Toc25358 \h </w:instrText>
      </w:r>
      <w:r>
        <w:rPr>
          <w:color w:val="auto"/>
        </w:rPr>
        <w:fldChar w:fldCharType="separate"/>
      </w:r>
      <w:r>
        <w:rPr>
          <w:color w:val="auto"/>
        </w:rPr>
        <w:t>189</w:t>
      </w:r>
      <w:r>
        <w:rPr>
          <w:color w:val="auto"/>
        </w:rPr>
        <w:fldChar w:fldCharType="end"/>
      </w:r>
      <w:r>
        <w:rPr>
          <w:rFonts w:hint="eastAsia" w:ascii="仿宋" w:hAnsi="仿宋" w:eastAsia="仿宋" w:cs="仿宋"/>
          <w:color w:val="auto"/>
          <w:szCs w:val="24"/>
        </w:rPr>
        <w:fldChar w:fldCharType="end"/>
      </w:r>
    </w:p>
    <w:p w14:paraId="31C8EA75">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_Toc8751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8.1 评价标准</w:t>
      </w:r>
      <w:r>
        <w:rPr>
          <w:color w:val="auto"/>
        </w:rPr>
        <w:tab/>
      </w:r>
      <w:r>
        <w:rPr>
          <w:color w:val="auto"/>
        </w:rPr>
        <w:fldChar w:fldCharType="begin"/>
      </w:r>
      <w:r>
        <w:rPr>
          <w:color w:val="auto"/>
        </w:rPr>
        <w:instrText xml:space="preserve"> PAGEREF _Toc8751 \h </w:instrText>
      </w:r>
      <w:r>
        <w:rPr>
          <w:color w:val="auto"/>
        </w:rPr>
        <w:fldChar w:fldCharType="separate"/>
      </w:r>
      <w:r>
        <w:rPr>
          <w:color w:val="auto"/>
        </w:rPr>
        <w:t>189</w:t>
      </w:r>
      <w:r>
        <w:rPr>
          <w:color w:val="auto"/>
        </w:rPr>
        <w:fldChar w:fldCharType="end"/>
      </w:r>
      <w:r>
        <w:rPr>
          <w:rFonts w:hint="eastAsia" w:ascii="仿宋" w:hAnsi="仿宋" w:eastAsia="仿宋" w:cs="仿宋"/>
          <w:color w:val="auto"/>
          <w:szCs w:val="24"/>
        </w:rPr>
        <w:fldChar w:fldCharType="end"/>
      </w:r>
    </w:p>
    <w:p w14:paraId="76D71662">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_Toc7813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8.2 分析检测结果</w:t>
      </w:r>
      <w:r>
        <w:rPr>
          <w:color w:val="auto"/>
        </w:rPr>
        <w:tab/>
      </w:r>
      <w:r>
        <w:rPr>
          <w:color w:val="auto"/>
        </w:rPr>
        <w:fldChar w:fldCharType="begin"/>
      </w:r>
      <w:r>
        <w:rPr>
          <w:color w:val="auto"/>
        </w:rPr>
        <w:instrText xml:space="preserve"> PAGEREF _Toc7813 \h </w:instrText>
      </w:r>
      <w:r>
        <w:rPr>
          <w:color w:val="auto"/>
        </w:rPr>
        <w:fldChar w:fldCharType="separate"/>
      </w:r>
      <w:r>
        <w:rPr>
          <w:color w:val="auto"/>
        </w:rPr>
        <w:t>194</w:t>
      </w:r>
      <w:r>
        <w:rPr>
          <w:color w:val="auto"/>
        </w:rPr>
        <w:fldChar w:fldCharType="end"/>
      </w:r>
      <w:r>
        <w:rPr>
          <w:rFonts w:hint="eastAsia" w:ascii="仿宋" w:hAnsi="仿宋" w:eastAsia="仿宋" w:cs="仿宋"/>
          <w:color w:val="auto"/>
          <w:szCs w:val="24"/>
        </w:rPr>
        <w:fldChar w:fldCharType="end"/>
      </w:r>
    </w:p>
    <w:p w14:paraId="56DD03A6">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_Toc1606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8.3 结果分析和评价</w:t>
      </w:r>
      <w:r>
        <w:rPr>
          <w:color w:val="auto"/>
        </w:rPr>
        <w:tab/>
      </w:r>
      <w:r>
        <w:rPr>
          <w:color w:val="auto"/>
        </w:rPr>
        <w:fldChar w:fldCharType="begin"/>
      </w:r>
      <w:r>
        <w:rPr>
          <w:color w:val="auto"/>
        </w:rPr>
        <w:instrText xml:space="preserve"> PAGEREF _Toc1606 \h </w:instrText>
      </w:r>
      <w:r>
        <w:rPr>
          <w:color w:val="auto"/>
        </w:rPr>
        <w:fldChar w:fldCharType="separate"/>
      </w:r>
      <w:r>
        <w:rPr>
          <w:color w:val="auto"/>
        </w:rPr>
        <w:t>204</w:t>
      </w:r>
      <w:r>
        <w:rPr>
          <w:color w:val="auto"/>
        </w:rPr>
        <w:fldChar w:fldCharType="end"/>
      </w:r>
      <w:r>
        <w:rPr>
          <w:rFonts w:hint="eastAsia" w:ascii="仿宋" w:hAnsi="仿宋" w:eastAsia="仿宋" w:cs="仿宋"/>
          <w:color w:val="auto"/>
          <w:szCs w:val="24"/>
        </w:rPr>
        <w:fldChar w:fldCharType="end"/>
      </w:r>
    </w:p>
    <w:p w14:paraId="3D38B4A7">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_Toc23274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8.4 不确定性</w:t>
      </w:r>
      <w:r>
        <w:rPr>
          <w:color w:val="auto"/>
        </w:rPr>
        <w:tab/>
      </w:r>
      <w:r>
        <w:rPr>
          <w:color w:val="auto"/>
        </w:rPr>
        <w:fldChar w:fldCharType="begin"/>
      </w:r>
      <w:r>
        <w:rPr>
          <w:color w:val="auto"/>
        </w:rPr>
        <w:instrText xml:space="preserve"> PAGEREF _Toc23274 \h </w:instrText>
      </w:r>
      <w:r>
        <w:rPr>
          <w:color w:val="auto"/>
        </w:rPr>
        <w:fldChar w:fldCharType="separate"/>
      </w:r>
      <w:r>
        <w:rPr>
          <w:color w:val="auto"/>
        </w:rPr>
        <w:t>204</w:t>
      </w:r>
      <w:r>
        <w:rPr>
          <w:color w:val="auto"/>
        </w:rPr>
        <w:fldChar w:fldCharType="end"/>
      </w:r>
      <w:r>
        <w:rPr>
          <w:rFonts w:hint="eastAsia" w:ascii="仿宋" w:hAnsi="仿宋" w:eastAsia="仿宋" w:cs="仿宋"/>
          <w:color w:val="auto"/>
          <w:szCs w:val="24"/>
        </w:rPr>
        <w:fldChar w:fldCharType="end"/>
      </w:r>
    </w:p>
    <w:p w14:paraId="39A83C5A">
      <w:pPr>
        <w:pStyle w:val="9"/>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_Toc4791 </w:instrText>
      </w:r>
      <w:r>
        <w:rPr>
          <w:rFonts w:hint="eastAsia" w:ascii="仿宋" w:hAnsi="仿宋" w:eastAsia="仿宋" w:cs="仿宋"/>
          <w:color w:val="auto"/>
          <w:szCs w:val="24"/>
        </w:rPr>
        <w:fldChar w:fldCharType="separate"/>
      </w:r>
      <w:r>
        <w:rPr>
          <w:rFonts w:hint="eastAsia" w:ascii="仿宋" w:hAnsi="仿宋" w:eastAsia="仿宋" w:cs="仿宋"/>
          <w:bCs w:val="0"/>
          <w:color w:val="auto"/>
          <w:kern w:val="0"/>
          <w:szCs w:val="36"/>
          <w:lang w:val="en-US" w:eastAsia="zh-CN" w:bidi="zh-CN"/>
        </w:rPr>
        <w:t>9  结论和建议</w:t>
      </w:r>
      <w:r>
        <w:rPr>
          <w:color w:val="auto"/>
        </w:rPr>
        <w:tab/>
      </w:r>
      <w:r>
        <w:rPr>
          <w:color w:val="auto"/>
        </w:rPr>
        <w:fldChar w:fldCharType="begin"/>
      </w:r>
      <w:r>
        <w:rPr>
          <w:color w:val="auto"/>
        </w:rPr>
        <w:instrText xml:space="preserve"> PAGEREF _Toc4791 \h </w:instrText>
      </w:r>
      <w:r>
        <w:rPr>
          <w:color w:val="auto"/>
        </w:rPr>
        <w:fldChar w:fldCharType="separate"/>
      </w:r>
      <w:r>
        <w:rPr>
          <w:color w:val="auto"/>
        </w:rPr>
        <w:t>206</w:t>
      </w:r>
      <w:r>
        <w:rPr>
          <w:color w:val="auto"/>
        </w:rPr>
        <w:fldChar w:fldCharType="end"/>
      </w:r>
      <w:r>
        <w:rPr>
          <w:rFonts w:hint="eastAsia" w:ascii="仿宋" w:hAnsi="仿宋" w:eastAsia="仿宋" w:cs="仿宋"/>
          <w:color w:val="auto"/>
          <w:szCs w:val="24"/>
        </w:rPr>
        <w:fldChar w:fldCharType="end"/>
      </w:r>
    </w:p>
    <w:p w14:paraId="1844356E">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_Toc32211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9.1 结论</w:t>
      </w:r>
      <w:r>
        <w:rPr>
          <w:color w:val="auto"/>
        </w:rPr>
        <w:tab/>
      </w:r>
      <w:r>
        <w:rPr>
          <w:color w:val="auto"/>
        </w:rPr>
        <w:fldChar w:fldCharType="begin"/>
      </w:r>
      <w:r>
        <w:rPr>
          <w:color w:val="auto"/>
        </w:rPr>
        <w:instrText xml:space="preserve"> PAGEREF _Toc32211 \h </w:instrText>
      </w:r>
      <w:r>
        <w:rPr>
          <w:color w:val="auto"/>
        </w:rPr>
        <w:fldChar w:fldCharType="separate"/>
      </w:r>
      <w:r>
        <w:rPr>
          <w:color w:val="auto"/>
        </w:rPr>
        <w:t>206</w:t>
      </w:r>
      <w:r>
        <w:rPr>
          <w:color w:val="auto"/>
        </w:rPr>
        <w:fldChar w:fldCharType="end"/>
      </w:r>
      <w:r>
        <w:rPr>
          <w:rFonts w:hint="eastAsia" w:ascii="仿宋" w:hAnsi="仿宋" w:eastAsia="仿宋" w:cs="仿宋"/>
          <w:color w:val="auto"/>
          <w:szCs w:val="24"/>
        </w:rPr>
        <w:fldChar w:fldCharType="end"/>
      </w:r>
    </w:p>
    <w:p w14:paraId="2D98C4CD">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_Toc10722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9.2 建议</w:t>
      </w:r>
      <w:r>
        <w:rPr>
          <w:color w:val="auto"/>
        </w:rPr>
        <w:tab/>
      </w:r>
      <w:r>
        <w:rPr>
          <w:color w:val="auto"/>
        </w:rPr>
        <w:fldChar w:fldCharType="begin"/>
      </w:r>
      <w:r>
        <w:rPr>
          <w:color w:val="auto"/>
        </w:rPr>
        <w:instrText xml:space="preserve"> PAGEREF _Toc10722 \h </w:instrText>
      </w:r>
      <w:r>
        <w:rPr>
          <w:color w:val="auto"/>
        </w:rPr>
        <w:fldChar w:fldCharType="separate"/>
      </w:r>
      <w:r>
        <w:rPr>
          <w:color w:val="auto"/>
        </w:rPr>
        <w:t>207</w:t>
      </w:r>
      <w:r>
        <w:rPr>
          <w:color w:val="auto"/>
        </w:rPr>
        <w:fldChar w:fldCharType="end"/>
      </w:r>
      <w:r>
        <w:rPr>
          <w:rFonts w:hint="eastAsia" w:ascii="仿宋" w:hAnsi="仿宋" w:eastAsia="仿宋" w:cs="仿宋"/>
          <w:color w:val="auto"/>
          <w:szCs w:val="24"/>
        </w:rPr>
        <w:fldChar w:fldCharType="end"/>
      </w:r>
    </w:p>
    <w:p w14:paraId="66159D26">
      <w:pPr>
        <w:pStyle w:val="10"/>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color w:val="auto"/>
        </w:rPr>
      </w:pPr>
    </w:p>
    <w:p w14:paraId="79AA3FD1">
      <w:pPr>
        <w:pStyle w:val="4"/>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0" w:firstLineChars="0"/>
        <w:textAlignment w:val="auto"/>
        <w:rPr>
          <w:rFonts w:hint="eastAsia" w:ascii="仿宋" w:hAnsi="仿宋" w:eastAsia="仿宋" w:cs="仿宋"/>
          <w:color w:val="auto"/>
          <w:sz w:val="24"/>
          <w:szCs w:val="24"/>
        </w:rPr>
        <w:sectPr>
          <w:headerReference r:id="rId8" w:type="default"/>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r>
        <w:rPr>
          <w:rFonts w:hint="eastAsia" w:ascii="仿宋" w:hAnsi="仿宋" w:eastAsia="仿宋" w:cs="仿宋"/>
          <w:color w:val="auto"/>
          <w:szCs w:val="24"/>
        </w:rPr>
        <w:fldChar w:fldCharType="end"/>
      </w:r>
    </w:p>
    <w:p w14:paraId="668F6F59">
      <w:pPr>
        <w:pStyle w:val="11"/>
        <w:keepNext w:val="0"/>
        <w:keepLines w:val="0"/>
        <w:pageBreakBefore w:val="0"/>
        <w:widowControl/>
        <w:kinsoku/>
        <w:wordWrap w:val="0"/>
        <w:overflowPunct/>
        <w:topLinePunct w:val="0"/>
        <w:autoSpaceDE/>
        <w:autoSpaceDN/>
        <w:bidi w:val="0"/>
        <w:adjustRightInd/>
        <w:snapToGrid/>
        <w:spacing w:before="0" w:beforeAutospacing="0" w:after="0" w:afterAutospacing="0" w:line="360" w:lineRule="auto"/>
        <w:textAlignment w:val="auto"/>
        <w:outlineLvl w:val="0"/>
        <w:rPr>
          <w:rFonts w:hint="eastAsia" w:ascii="仿宋" w:hAnsi="仿宋" w:eastAsia="仿宋" w:cs="仿宋"/>
          <w:b/>
          <w:bCs w:val="0"/>
          <w:color w:val="auto"/>
          <w:sz w:val="36"/>
          <w:szCs w:val="36"/>
          <w:lang w:val="en-US" w:eastAsia="zh-CN"/>
        </w:rPr>
      </w:pPr>
      <w:bookmarkStart w:id="18" w:name="_Toc6995"/>
      <w:bookmarkStart w:id="19" w:name="_Toc31206"/>
      <w:bookmarkStart w:id="20" w:name="_Toc11125"/>
      <w:bookmarkStart w:id="21" w:name="_Toc31484"/>
      <w:bookmarkStart w:id="22" w:name="_Toc26673"/>
      <w:r>
        <w:rPr>
          <w:rFonts w:hint="eastAsia" w:ascii="仿宋" w:hAnsi="仿宋" w:eastAsia="仿宋" w:cs="仿宋"/>
          <w:b/>
          <w:bCs w:val="0"/>
          <w:color w:val="auto"/>
          <w:sz w:val="36"/>
          <w:szCs w:val="36"/>
          <w:lang w:val="en-US" w:eastAsia="zh-CN"/>
        </w:rPr>
        <w:t>1  前言</w:t>
      </w:r>
      <w:bookmarkEnd w:id="18"/>
      <w:bookmarkEnd w:id="19"/>
      <w:bookmarkEnd w:id="20"/>
      <w:bookmarkEnd w:id="21"/>
      <w:bookmarkEnd w:id="22"/>
    </w:p>
    <w:p w14:paraId="64630F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如皋城西片区一期广福路北、花城大道东（319#B）地块位于南通如皋市。本地块东至志颐路，西至花城大道，南至广福路（规划路），北至如泰运河，本次调查地块总占地面积89220m</w:t>
      </w:r>
      <w:r>
        <w:rPr>
          <w:rFonts w:hint="eastAsia" w:ascii="仿宋" w:hAnsi="仿宋" w:eastAsia="仿宋" w:cs="仿宋"/>
          <w:color w:val="auto"/>
          <w:sz w:val="24"/>
          <w:szCs w:val="24"/>
          <w:vertAlign w:val="superscript"/>
          <w:lang w:val="en-US" w:eastAsia="zh-CN"/>
        </w:rPr>
        <w:t>2</w:t>
      </w:r>
      <w:r>
        <w:rPr>
          <w:rFonts w:hint="eastAsia" w:ascii="仿宋" w:hAnsi="仿宋" w:eastAsia="仿宋" w:cs="仿宋"/>
          <w:color w:val="auto"/>
          <w:sz w:val="24"/>
          <w:szCs w:val="24"/>
          <w:lang w:val="en-US" w:eastAsia="zh-CN"/>
        </w:rPr>
        <w:t>（约133.83亩）。</w:t>
      </w:r>
    </w:p>
    <w:p w14:paraId="128551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结合卫星影像及人员访谈得知，地块早期为农田，本次调查地块历史功能用途复杂，涉及工业生产、商业、住宅等多种功能区，因此本次调查对地块进行分区调查，初步分为生产区和非生产区。根据人员走访、历史影像资料，生产区曾存在如皋市北方燃料有限公司、南通市俞氏太阳能热水器有限公司、新华书店储运中心、如皋市天天友缘太阳能热水器厂、逸仙（钢管租赁）、如皋市东皋酱菜厂、如皋市白沙生物制品有限公司、如皋市吕德高服饰经营部、不锈钢门窗厂；非生产区域一直为村民宅基地、沿街商铺。地块内构筑物于2022年拆除，目前遗留原</w:t>
      </w:r>
      <w:r>
        <w:rPr>
          <w:rFonts w:hint="eastAsia" w:ascii="仿宋" w:hAnsi="仿宋" w:eastAsia="仿宋" w:cs="仿宋"/>
          <w:b w:val="0"/>
          <w:bCs w:val="0"/>
          <w:color w:val="auto"/>
          <w:sz w:val="24"/>
          <w:szCs w:val="32"/>
          <w:lang w:val="en-US" w:eastAsia="zh-CN"/>
        </w:rPr>
        <w:t>不锈钢门窗厂经营部未拆除，地块</w:t>
      </w:r>
      <w:r>
        <w:rPr>
          <w:rFonts w:hint="eastAsia" w:ascii="仿宋" w:hAnsi="仿宋" w:eastAsia="仿宋" w:cs="仿宋"/>
          <w:color w:val="auto"/>
          <w:sz w:val="24"/>
          <w:szCs w:val="24"/>
          <w:lang w:val="en-US" w:eastAsia="zh-CN"/>
        </w:rPr>
        <w:t>为管制状态，设置围栏及门锁，配专人进行看管（闲人不得入内）。</w:t>
      </w:r>
    </w:p>
    <w:p w14:paraId="519566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根据收集的材料，本次调查地块周边500m范围内存在两家重点行业企业，分别为如皋弘森染丝线厂、如皋市莱思染整有限公司，风险关注度等级均为中度，企业已开展过土壤污染状况调查工作。根据收集到的《如皋城西片区一期西部志颐路东、如泰运河南地块土壤污染状况调查报告》（含如皋弘森染丝线厂、如皋市莱思染整有限公司地块，报告已于</w:t>
      </w:r>
      <w:r>
        <w:rPr>
          <w:rFonts w:hint="default" w:ascii="仿宋" w:hAnsi="仿宋" w:eastAsia="仿宋" w:cs="仿宋"/>
          <w:color w:val="auto"/>
          <w:sz w:val="24"/>
          <w:szCs w:val="24"/>
          <w:lang w:val="en-US" w:eastAsia="zh-CN"/>
        </w:rPr>
        <w:t>2024</w:t>
      </w:r>
      <w:r>
        <w:rPr>
          <w:rFonts w:hint="eastAsia" w:ascii="仿宋" w:hAnsi="仿宋" w:eastAsia="仿宋" w:cs="仿宋"/>
          <w:color w:val="auto"/>
          <w:sz w:val="24"/>
          <w:szCs w:val="24"/>
          <w:lang w:val="en-US" w:eastAsia="zh-CN"/>
        </w:rPr>
        <w:t>年7月3日通过专家复核并备案），主要结论为：如皋城西片区一期西部志颐路东、如泰运河南地块不属于污染地块，无需进行进一步调查，地块符合GB36600中一类用地筛选值要求，可按照规划用于居住用地（R21）、道路用地、公园绿地（G1）、防护绿地（G2）、商业用地（B1）建设。</w:t>
      </w:r>
    </w:p>
    <w:p w14:paraId="2EAB74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default"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本次调查范围内</w:t>
      </w:r>
      <w:r>
        <w:rPr>
          <w:rFonts w:hint="default" w:ascii="仿宋" w:hAnsi="仿宋" w:eastAsia="仿宋" w:cs="仿宋"/>
          <w:b w:val="0"/>
          <w:bCs w:val="0"/>
          <w:color w:val="auto"/>
          <w:sz w:val="24"/>
          <w:szCs w:val="32"/>
          <w:lang w:val="en-US" w:eastAsia="zh-CN"/>
        </w:rPr>
        <w:t>用地性质为</w:t>
      </w:r>
      <w:r>
        <w:rPr>
          <w:rFonts w:hint="eastAsia" w:ascii="仿宋" w:hAnsi="仿宋" w:eastAsia="仿宋" w:cs="仿宋"/>
          <w:b w:val="0"/>
          <w:bCs w:val="0"/>
          <w:color w:val="auto"/>
          <w:sz w:val="24"/>
          <w:szCs w:val="32"/>
          <w:lang w:val="en-US" w:eastAsia="zh-CN"/>
        </w:rPr>
        <w:t>集体用地、住宅（宅基地）、工业用地等</w:t>
      </w:r>
      <w:r>
        <w:rPr>
          <w:rFonts w:hint="default" w:ascii="仿宋" w:hAnsi="仿宋" w:eastAsia="仿宋" w:cs="仿宋"/>
          <w:b w:val="0"/>
          <w:bCs w:val="0"/>
          <w:color w:val="auto"/>
          <w:sz w:val="24"/>
          <w:szCs w:val="32"/>
          <w:lang w:val="en-US" w:eastAsia="zh-CN"/>
        </w:rPr>
        <w:t>。根据《</w:t>
      </w:r>
      <w:r>
        <w:rPr>
          <w:rFonts w:hint="eastAsia" w:ascii="仿宋" w:hAnsi="仿宋" w:eastAsia="仿宋" w:cs="仿宋"/>
          <w:b w:val="0"/>
          <w:bCs w:val="0"/>
          <w:color w:val="auto"/>
          <w:sz w:val="24"/>
          <w:szCs w:val="32"/>
          <w:lang w:val="en-US" w:eastAsia="zh-CN"/>
        </w:rPr>
        <w:t>如皋市西片区控制性详细规划（2021.12）</w:t>
      </w:r>
      <w:r>
        <w:rPr>
          <w:rFonts w:hint="default" w:ascii="仿宋" w:hAnsi="仿宋" w:eastAsia="仿宋" w:cs="仿宋"/>
          <w:b w:val="0"/>
          <w:bCs w:val="0"/>
          <w:color w:val="auto"/>
          <w:sz w:val="24"/>
          <w:szCs w:val="32"/>
          <w:lang w:val="en-US" w:eastAsia="zh-CN"/>
        </w:rPr>
        <w:t>》，该地块未来规划为</w:t>
      </w:r>
      <w:r>
        <w:rPr>
          <w:rFonts w:hint="eastAsia" w:ascii="仿宋" w:hAnsi="仿宋" w:eastAsia="仿宋" w:cs="仿宋"/>
          <w:b w:val="0"/>
          <w:bCs w:val="0"/>
          <w:color w:val="auto"/>
          <w:sz w:val="24"/>
          <w:szCs w:val="32"/>
          <w:lang w:val="en-US" w:eastAsia="zh-CN"/>
        </w:rPr>
        <w:t>居住用地（R21）、商业服务业设施用地（B1）、幼托用地（Rax）、道路用地、公园绿地（G1）。本次调查范围内地块未来规划涉及第一类用地及第二类用地，</w:t>
      </w:r>
      <w:r>
        <w:rPr>
          <w:rFonts w:hint="default" w:ascii="仿宋" w:hAnsi="仿宋" w:eastAsia="仿宋" w:cs="仿宋"/>
          <w:b w:val="0"/>
          <w:bCs w:val="0"/>
          <w:color w:val="auto"/>
          <w:sz w:val="24"/>
          <w:szCs w:val="32"/>
          <w:lang w:val="en-US" w:eastAsia="zh-CN"/>
        </w:rPr>
        <w:t>因道路、公园绿地</w:t>
      </w:r>
      <w:r>
        <w:rPr>
          <w:rFonts w:hint="eastAsia" w:ascii="仿宋" w:hAnsi="仿宋" w:eastAsia="仿宋" w:cs="仿宋"/>
          <w:b w:val="0"/>
          <w:bCs w:val="0"/>
          <w:color w:val="auto"/>
          <w:sz w:val="24"/>
          <w:szCs w:val="32"/>
          <w:lang w:val="en-US" w:eastAsia="zh-CN"/>
        </w:rPr>
        <w:t>、商业用地</w:t>
      </w:r>
      <w:r>
        <w:rPr>
          <w:rFonts w:hint="default" w:ascii="仿宋" w:hAnsi="仿宋" w:eastAsia="仿宋" w:cs="仿宋"/>
          <w:b w:val="0"/>
          <w:bCs w:val="0"/>
          <w:color w:val="auto"/>
          <w:sz w:val="24"/>
          <w:szCs w:val="32"/>
          <w:lang w:val="en-US" w:eastAsia="zh-CN"/>
        </w:rPr>
        <w:t>占总调查范围的比例较小，</w:t>
      </w:r>
      <w:r>
        <w:rPr>
          <w:rFonts w:hint="eastAsia" w:ascii="仿宋" w:hAnsi="仿宋" w:eastAsia="仿宋" w:cs="仿宋"/>
          <w:b w:val="0"/>
          <w:bCs w:val="0"/>
          <w:color w:val="auto"/>
          <w:sz w:val="24"/>
          <w:szCs w:val="32"/>
          <w:lang w:val="en-US" w:eastAsia="zh-CN"/>
        </w:rPr>
        <w:t>因此本次调查评价标准将从严执行，统一按</w:t>
      </w:r>
      <w:r>
        <w:rPr>
          <w:rFonts w:hint="default" w:ascii="仿宋" w:hAnsi="仿宋" w:eastAsia="仿宋" w:cs="仿宋"/>
          <w:b w:val="0"/>
          <w:bCs w:val="0"/>
          <w:color w:val="auto"/>
          <w:sz w:val="24"/>
          <w:szCs w:val="32"/>
          <w:lang w:val="en-US" w:eastAsia="zh-CN"/>
        </w:rPr>
        <w:t>《土壤环境质量 建设用地土壤污染风险管控标准（试行）》（GB36600-2018）</w:t>
      </w:r>
      <w:r>
        <w:rPr>
          <w:rFonts w:hint="eastAsia" w:ascii="仿宋" w:hAnsi="仿宋" w:eastAsia="仿宋" w:cs="仿宋"/>
          <w:b w:val="0"/>
          <w:bCs w:val="0"/>
          <w:color w:val="auto"/>
          <w:sz w:val="24"/>
          <w:szCs w:val="32"/>
          <w:lang w:val="en-US" w:eastAsia="zh-CN"/>
        </w:rPr>
        <w:t>中第一类用地评价标准进行评价。</w:t>
      </w:r>
      <w:r>
        <w:rPr>
          <w:rFonts w:hint="default" w:ascii="仿宋" w:hAnsi="仿宋" w:eastAsia="仿宋" w:cs="仿宋"/>
          <w:b w:val="0"/>
          <w:bCs w:val="0"/>
          <w:color w:val="auto"/>
          <w:sz w:val="24"/>
          <w:szCs w:val="32"/>
          <w:lang w:val="en-US" w:eastAsia="zh-CN"/>
        </w:rPr>
        <w:t>根据《中华人民共和国土壤污染防治法》第五十九条：用途变更为住宅、公共管理与公共服务用地的，变更前应当按照规定进行土壤污染状况调查。</w:t>
      </w:r>
    </w:p>
    <w:p w14:paraId="27FF4B4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仿宋" w:hAnsi="仿宋" w:eastAsia="仿宋" w:cs="仿宋"/>
          <w:color w:val="auto"/>
          <w:sz w:val="24"/>
          <w:szCs w:val="24"/>
          <w:lang w:val="en-US" w:eastAsia="zh-CN"/>
        </w:rPr>
        <w:t>因此，如皋市西片区综合开发有限公司委托江苏标普检测科技有限公司开展本地块土壤污染状况调查工作。针对如皋城西片区一期广福路北、花城大道东（319#B）地块，江苏标普检测科技有限公司于2023年7月组织专业技术人员对其进行了现场踏勘，收集了地块内与地块土壤污染状况调查相关的资料，确定了调查地块的土壤和地下水监测采样点位，并委托江苏格林勒斯检测科技有限公司于2024年4月5日进行地块土壤和地下水点位的现场采样，出具土壤、地下水检测报告。我公司综合分析了土壤、地下水点位监测因子种类及浓度，并在此基础上编制了《如皋城西片区一期广福路北、花城大道东（319#B）地块土壤污染状况调查报告》。</w:t>
      </w:r>
    </w:p>
    <w:p w14:paraId="6B6EA39B">
      <w:pPr>
        <w:pStyle w:val="11"/>
        <w:keepNext w:val="0"/>
        <w:keepLines w:val="0"/>
        <w:pageBreakBefore w:val="0"/>
        <w:widowControl/>
        <w:kinsoku/>
        <w:wordWrap w:val="0"/>
        <w:overflowPunct/>
        <w:topLinePunct w:val="0"/>
        <w:autoSpaceDE/>
        <w:autoSpaceDN/>
        <w:bidi w:val="0"/>
        <w:adjustRightInd/>
        <w:snapToGrid/>
        <w:spacing w:before="0" w:beforeAutospacing="0" w:after="0" w:afterAutospacing="0" w:line="360" w:lineRule="auto"/>
        <w:textAlignment w:val="auto"/>
        <w:outlineLvl w:val="0"/>
        <w:rPr>
          <w:rFonts w:hint="eastAsia" w:ascii="仿宋" w:hAnsi="仿宋" w:eastAsia="仿宋" w:cs="仿宋"/>
          <w:b/>
          <w:bCs w:val="0"/>
          <w:color w:val="auto"/>
          <w:sz w:val="36"/>
          <w:szCs w:val="36"/>
          <w:lang w:val="en-US" w:eastAsia="zh-CN"/>
        </w:rPr>
      </w:pPr>
      <w:bookmarkStart w:id="23" w:name="_Toc4878"/>
      <w:bookmarkStart w:id="24" w:name="_Toc4694"/>
      <w:bookmarkStart w:id="25" w:name="_Toc25521"/>
      <w:bookmarkStart w:id="26" w:name="_Toc20550"/>
      <w:bookmarkStart w:id="27" w:name="_Toc29121"/>
      <w:r>
        <w:rPr>
          <w:rFonts w:hint="eastAsia" w:ascii="仿宋" w:hAnsi="仿宋" w:eastAsia="仿宋" w:cs="仿宋"/>
          <w:b/>
          <w:bCs w:val="0"/>
          <w:color w:val="auto"/>
          <w:sz w:val="36"/>
          <w:szCs w:val="36"/>
          <w:lang w:val="en-US" w:eastAsia="zh-CN"/>
        </w:rPr>
        <w:t>2  概述</w:t>
      </w:r>
      <w:bookmarkEnd w:id="23"/>
      <w:bookmarkEnd w:id="24"/>
      <w:bookmarkEnd w:id="25"/>
      <w:bookmarkEnd w:id="26"/>
      <w:bookmarkEnd w:id="27"/>
    </w:p>
    <w:p w14:paraId="316A8FA2">
      <w:pPr>
        <w:pStyle w:val="4"/>
        <w:keepNext w:val="0"/>
        <w:keepLines w:val="0"/>
        <w:pageBreakBefore w:val="0"/>
        <w:kinsoku/>
        <w:wordWrap/>
        <w:overflowPunct/>
        <w:topLinePunct w:val="0"/>
        <w:bidi w:val="0"/>
        <w:spacing w:after="0" w:afterLines="0"/>
        <w:ind w:left="0" w:leftChars="0" w:firstLine="0" w:firstLineChars="0"/>
        <w:textAlignment w:val="auto"/>
        <w:outlineLvl w:val="1"/>
        <w:rPr>
          <w:rFonts w:hint="eastAsia" w:ascii="仿宋" w:hAnsi="仿宋" w:eastAsia="仿宋" w:cs="仿宋"/>
          <w:b/>
          <w:bCs/>
          <w:color w:val="auto"/>
          <w:sz w:val="28"/>
          <w:szCs w:val="21"/>
          <w:lang w:val="en-US" w:eastAsia="zh-CN"/>
        </w:rPr>
      </w:pPr>
      <w:bookmarkStart w:id="28" w:name="_Toc5700"/>
      <w:bookmarkStart w:id="29" w:name="_Toc24185"/>
      <w:bookmarkStart w:id="30" w:name="_Toc4060"/>
      <w:bookmarkStart w:id="31" w:name="_Toc22724"/>
      <w:r>
        <w:rPr>
          <w:rFonts w:hint="eastAsia" w:ascii="仿宋" w:hAnsi="仿宋" w:eastAsia="仿宋" w:cs="仿宋"/>
          <w:b/>
          <w:bCs/>
          <w:color w:val="auto"/>
          <w:sz w:val="28"/>
          <w:szCs w:val="21"/>
          <w:lang w:val="en-US" w:eastAsia="zh-CN"/>
        </w:rPr>
        <w:t>2.1  调查目的和原则</w:t>
      </w:r>
      <w:bookmarkEnd w:id="28"/>
      <w:bookmarkEnd w:id="29"/>
      <w:bookmarkEnd w:id="30"/>
      <w:bookmarkEnd w:id="31"/>
    </w:p>
    <w:p w14:paraId="03E0D6DB">
      <w:pPr>
        <w:pStyle w:val="4"/>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bookmarkStart w:id="32" w:name="_Toc13960"/>
      <w:bookmarkStart w:id="33" w:name="_Toc1252"/>
      <w:r>
        <w:rPr>
          <w:rFonts w:hint="eastAsia" w:ascii="仿宋" w:hAnsi="仿宋" w:eastAsia="仿宋" w:cs="仿宋"/>
          <w:b/>
          <w:bCs w:val="0"/>
          <w:color w:val="auto"/>
          <w:sz w:val="28"/>
          <w:szCs w:val="28"/>
          <w:lang w:val="en-US" w:eastAsia="zh-CN"/>
        </w:rPr>
        <w:t>2.2.1 调查目的</w:t>
      </w:r>
      <w:bookmarkEnd w:id="32"/>
      <w:bookmarkEnd w:id="33"/>
    </w:p>
    <w:p w14:paraId="45010A5E">
      <w:pPr>
        <w:keepNext w:val="0"/>
        <w:keepLines w:val="0"/>
        <w:pageBreakBefore w:val="0"/>
        <w:widowControl/>
        <w:kinsoku/>
        <w:wordWrap/>
        <w:overflowPunct/>
        <w:topLinePunct w:val="0"/>
        <w:bidi w:val="0"/>
        <w:spacing w:line="360" w:lineRule="auto"/>
        <w:ind w:firstLine="48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根据《建设用地土壤污染状况调查技术导则》（HJ25.1-2019）、《建设用地土壤污染风险管控和修复监测技术导则（HJ25.2-2019）》、《建设用地土壤环境调查评估技术指南》等导则及相关技术性规范，开展</w:t>
      </w:r>
      <w:r>
        <w:rPr>
          <w:rFonts w:hint="eastAsia" w:ascii="仿宋" w:hAnsi="仿宋" w:eastAsia="仿宋" w:cs="仿宋"/>
          <w:color w:val="auto"/>
          <w:sz w:val="24"/>
          <w:szCs w:val="24"/>
          <w:lang w:val="en-US" w:eastAsia="zh-CN"/>
        </w:rPr>
        <w:t>如皋城西片区一期广福路北、花城大道东（319#B）地块土</w:t>
      </w:r>
      <w:r>
        <w:rPr>
          <w:rFonts w:hint="eastAsia" w:ascii="仿宋" w:hAnsi="仿宋" w:eastAsia="仿宋" w:cs="仿宋"/>
          <w:color w:val="auto"/>
          <w:sz w:val="24"/>
          <w:szCs w:val="24"/>
        </w:rPr>
        <w:t>壤污染状况调查，对地块的土壤和地下水的环境</w:t>
      </w:r>
      <w:r>
        <w:rPr>
          <w:rFonts w:hint="eastAsia" w:ascii="仿宋" w:hAnsi="仿宋" w:eastAsia="仿宋" w:cs="仿宋"/>
          <w:color w:val="auto"/>
          <w:sz w:val="24"/>
          <w:szCs w:val="24"/>
          <w:lang w:val="en-US" w:eastAsia="zh-CN"/>
        </w:rPr>
        <w:t>状况</w:t>
      </w:r>
      <w:r>
        <w:rPr>
          <w:rFonts w:hint="eastAsia" w:ascii="仿宋" w:hAnsi="仿宋" w:eastAsia="仿宋" w:cs="仿宋"/>
          <w:color w:val="auto"/>
          <w:sz w:val="24"/>
          <w:szCs w:val="24"/>
        </w:rPr>
        <w:t>进行评价。通过土壤和地下水样品采集、检测分析，确定地块环境质量是否满足建设用地的环境质量要求，对后续工作提供指导建议。</w:t>
      </w:r>
    </w:p>
    <w:p w14:paraId="68FA48ED">
      <w:pPr>
        <w:pStyle w:val="4"/>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default" w:ascii="仿宋" w:hAnsi="仿宋" w:eastAsia="仿宋" w:cs="仿宋"/>
          <w:b/>
          <w:bCs w:val="0"/>
          <w:color w:val="auto"/>
          <w:sz w:val="28"/>
          <w:szCs w:val="28"/>
          <w:lang w:val="en-US" w:eastAsia="zh-CN"/>
        </w:rPr>
      </w:pPr>
      <w:bookmarkStart w:id="34" w:name="_Toc12226"/>
      <w:bookmarkStart w:id="35" w:name="_Toc19955"/>
      <w:bookmarkStart w:id="36" w:name="_Toc12094"/>
      <w:bookmarkStart w:id="37" w:name="_Toc7532"/>
      <w:bookmarkStart w:id="38" w:name="_Toc28901"/>
      <w:bookmarkStart w:id="39" w:name="_Toc9813"/>
      <w:r>
        <w:rPr>
          <w:rFonts w:hint="eastAsia" w:ascii="仿宋" w:hAnsi="仿宋" w:eastAsia="仿宋" w:cs="仿宋"/>
          <w:b/>
          <w:bCs w:val="0"/>
          <w:color w:val="auto"/>
          <w:sz w:val="28"/>
          <w:szCs w:val="28"/>
          <w:lang w:val="en-US" w:eastAsia="zh-CN"/>
        </w:rPr>
        <w:t>2.2.2 调查原</w:t>
      </w:r>
      <w:bookmarkEnd w:id="34"/>
      <w:bookmarkEnd w:id="35"/>
      <w:bookmarkEnd w:id="36"/>
      <w:bookmarkEnd w:id="37"/>
      <w:bookmarkEnd w:id="38"/>
      <w:bookmarkEnd w:id="39"/>
      <w:r>
        <w:rPr>
          <w:rFonts w:hint="eastAsia" w:ascii="仿宋" w:hAnsi="仿宋" w:eastAsia="仿宋" w:cs="仿宋"/>
          <w:b/>
          <w:bCs w:val="0"/>
          <w:color w:val="auto"/>
          <w:sz w:val="28"/>
          <w:szCs w:val="28"/>
          <w:lang w:val="en-US" w:eastAsia="zh-CN"/>
        </w:rPr>
        <w:t>则</w:t>
      </w:r>
    </w:p>
    <w:p w14:paraId="2C6BCA9A">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（1）针对性原则</w:t>
      </w:r>
    </w:p>
    <w:p w14:paraId="2999B158">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针对地块土壤和地下水污染特点，根据目标地块土壤类型及各层分布情况、地下水埋深、地下水流向、原使用情况、生产历史等对地块各个区域进行针对性调查，</w:t>
      </w:r>
      <w:r>
        <w:rPr>
          <w:rFonts w:hint="eastAsia" w:ascii="仿宋" w:hAnsi="仿宋" w:eastAsia="仿宋" w:cs="仿宋"/>
          <w:color w:val="auto"/>
        </w:rPr>
        <w:t>为地块的环境管理提供依据</w:t>
      </w:r>
      <w:r>
        <w:rPr>
          <w:rFonts w:hint="eastAsia" w:ascii="仿宋" w:hAnsi="仿宋" w:eastAsia="仿宋" w:cs="仿宋"/>
          <w:bCs/>
          <w:color w:val="auto"/>
          <w:kern w:val="0"/>
        </w:rPr>
        <w:t>。</w:t>
      </w:r>
    </w:p>
    <w:p w14:paraId="4602BA4E">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（2）规范性原则</w:t>
      </w:r>
    </w:p>
    <w:p w14:paraId="7238B79F">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严格按照国内地块调查最新的相关技术规范开展工作，从布点方案编制、现场点位采样、样品保存运输到样品分析等一系列过程的各个环节进行严格的质量控制，以确保调查过程和调查结果的科学性、准确性和客观性。</w:t>
      </w:r>
    </w:p>
    <w:p w14:paraId="27A3CB06">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（3）可操作性原则</w:t>
      </w:r>
    </w:p>
    <w:p w14:paraId="3A3B7722">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开展调查工作时要综合考虑调查方法、调查时间、调查经费以及现场条件等客观因素，制定切实可行的实施方案，确保调查工作的顺利进行。</w:t>
      </w:r>
    </w:p>
    <w:p w14:paraId="1145E230">
      <w:pPr>
        <w:pStyle w:val="4"/>
        <w:keepNext w:val="0"/>
        <w:keepLines w:val="0"/>
        <w:pageBreakBefore w:val="0"/>
        <w:kinsoku/>
        <w:wordWrap/>
        <w:overflowPunct/>
        <w:topLinePunct w:val="0"/>
        <w:bidi w:val="0"/>
        <w:spacing w:after="0" w:afterLines="0"/>
        <w:ind w:left="0" w:leftChars="0" w:firstLine="0" w:firstLineChars="0"/>
        <w:textAlignment w:val="auto"/>
        <w:outlineLvl w:val="1"/>
        <w:rPr>
          <w:rFonts w:hint="eastAsia" w:ascii="仿宋" w:hAnsi="仿宋" w:eastAsia="仿宋" w:cs="仿宋"/>
          <w:b/>
          <w:bCs/>
          <w:color w:val="auto"/>
          <w:sz w:val="28"/>
          <w:szCs w:val="21"/>
          <w:lang w:val="en-US" w:eastAsia="zh-CN"/>
        </w:rPr>
      </w:pPr>
      <w:bookmarkStart w:id="40" w:name="_Toc25636"/>
      <w:bookmarkStart w:id="41" w:name="_Toc10198"/>
      <w:bookmarkStart w:id="42" w:name="_Toc11616"/>
      <w:bookmarkStart w:id="43" w:name="_Toc6932"/>
      <w:bookmarkStart w:id="44" w:name="_Toc28064"/>
      <w:bookmarkStart w:id="45" w:name="_Toc347"/>
      <w:bookmarkStart w:id="46" w:name="_Toc23409"/>
      <w:bookmarkStart w:id="47" w:name="_Toc68"/>
      <w:bookmarkStart w:id="48" w:name="_Toc25393"/>
      <w:r>
        <w:rPr>
          <w:rFonts w:hint="eastAsia" w:ascii="仿宋" w:hAnsi="仿宋" w:eastAsia="仿宋" w:cs="仿宋"/>
          <w:b/>
          <w:bCs/>
          <w:color w:val="auto"/>
          <w:sz w:val="28"/>
          <w:szCs w:val="21"/>
          <w:lang w:val="en-US" w:eastAsia="zh-CN"/>
        </w:rPr>
        <w:t>2.2  调查范围</w:t>
      </w:r>
      <w:bookmarkEnd w:id="40"/>
      <w:bookmarkEnd w:id="41"/>
      <w:bookmarkEnd w:id="42"/>
      <w:bookmarkEnd w:id="43"/>
      <w:bookmarkEnd w:id="44"/>
      <w:bookmarkEnd w:id="45"/>
      <w:bookmarkEnd w:id="46"/>
      <w:bookmarkEnd w:id="47"/>
      <w:bookmarkEnd w:id="48"/>
    </w:p>
    <w:p w14:paraId="2876A4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bookmarkStart w:id="49" w:name="_Toc10128"/>
      <w:bookmarkStart w:id="50" w:name="_Toc30906"/>
      <w:bookmarkStart w:id="51" w:name="_Toc8604"/>
      <w:bookmarkStart w:id="52" w:name="_Toc13604"/>
      <w:bookmarkStart w:id="53" w:name="_Toc10063"/>
      <w:r>
        <w:rPr>
          <w:rFonts w:hint="eastAsia" w:ascii="仿宋" w:hAnsi="仿宋" w:eastAsia="仿宋" w:cs="仿宋"/>
          <w:b w:val="0"/>
          <w:bCs w:val="0"/>
          <w:color w:val="auto"/>
          <w:sz w:val="24"/>
          <w:szCs w:val="32"/>
          <w:lang w:val="en-US" w:eastAsia="zh-CN"/>
        </w:rPr>
        <w:t>如皋城西片区一期广福路北、花城大道东（319#B）地块</w:t>
      </w:r>
      <w:r>
        <w:rPr>
          <w:rFonts w:hint="default" w:ascii="仿宋" w:hAnsi="仿宋" w:eastAsia="仿宋" w:cs="仿宋"/>
          <w:b w:val="0"/>
          <w:bCs w:val="0"/>
          <w:color w:val="auto"/>
          <w:sz w:val="24"/>
          <w:szCs w:val="32"/>
          <w:lang w:val="en-US" w:eastAsia="zh-CN"/>
        </w:rPr>
        <w:t>位于</w:t>
      </w:r>
      <w:r>
        <w:rPr>
          <w:rFonts w:hint="eastAsia" w:ascii="仿宋" w:hAnsi="仿宋" w:eastAsia="仿宋" w:cs="仿宋"/>
          <w:b w:val="0"/>
          <w:bCs w:val="0"/>
          <w:color w:val="auto"/>
          <w:sz w:val="24"/>
          <w:szCs w:val="32"/>
          <w:lang w:val="en-US" w:eastAsia="zh-CN"/>
        </w:rPr>
        <w:t>南通如皋市</w:t>
      </w:r>
      <w:r>
        <w:rPr>
          <w:rFonts w:hint="default" w:ascii="仿宋" w:hAnsi="仿宋" w:eastAsia="仿宋" w:cs="仿宋"/>
          <w:b w:val="0"/>
          <w:bCs w:val="0"/>
          <w:color w:val="auto"/>
          <w:sz w:val="24"/>
          <w:szCs w:val="32"/>
          <w:lang w:val="en-US" w:eastAsia="zh-CN"/>
        </w:rPr>
        <w:t>。</w:t>
      </w:r>
      <w:r>
        <w:rPr>
          <w:rFonts w:hint="eastAsia" w:ascii="仿宋" w:hAnsi="仿宋" w:eastAsia="仿宋" w:cs="仿宋"/>
          <w:b w:val="0"/>
          <w:bCs w:val="0"/>
          <w:color w:val="auto"/>
          <w:sz w:val="24"/>
          <w:szCs w:val="32"/>
          <w:lang w:val="en-US" w:eastAsia="zh-CN"/>
        </w:rPr>
        <w:t>本次调查范围包含委托单位提供的319#B地块（规划为居住用地、商业服务业设施用地（B1）、道路用地、公园绿地（G1）和幼托用地（Rax））的红线范围，且为保证调查的完整性，本次调查范围包含如皋市北方燃料有限公司、南通市俞氏太阳能热水器有限公司、新华书店储运中心、如皋市天天友缘太阳能热水器厂、逸仙（钢管租赁）、如皋市东皋酱菜厂、如皋市白沙生物制品有限公司、不锈钢门窗厂整个厂区。</w:t>
      </w:r>
    </w:p>
    <w:p w14:paraId="4FFD26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default"/>
          <w:color w:val="auto"/>
          <w:lang w:val="en-US"/>
        </w:rPr>
      </w:pPr>
      <w:r>
        <w:rPr>
          <w:rFonts w:hint="eastAsia" w:ascii="仿宋" w:hAnsi="仿宋" w:eastAsia="仿宋" w:cs="仿宋"/>
          <w:b w:val="0"/>
          <w:bCs w:val="0"/>
          <w:color w:val="auto"/>
          <w:sz w:val="24"/>
          <w:szCs w:val="32"/>
          <w:lang w:val="en-US" w:eastAsia="zh-CN"/>
        </w:rPr>
        <w:t>本次调查范围见图2.2-1。</w:t>
      </w:r>
      <w:r>
        <w:rPr>
          <w:rFonts w:hint="eastAsia" w:ascii="仿宋" w:hAnsi="仿宋" w:eastAsia="仿宋" w:cs="仿宋"/>
          <w:b/>
          <w:bCs/>
          <w:color w:val="auto"/>
          <w:sz w:val="24"/>
          <w:szCs w:val="32"/>
          <w:lang w:val="en-US" w:eastAsia="zh-CN"/>
        </w:rPr>
        <w:t>红线图详见附件一。</w:t>
      </w:r>
      <w:r>
        <w:rPr>
          <w:rFonts w:hint="eastAsia" w:ascii="仿宋" w:hAnsi="仿宋" w:eastAsia="仿宋" w:cs="仿宋"/>
          <w:b w:val="0"/>
          <w:bCs w:val="0"/>
          <w:color w:val="auto"/>
          <w:sz w:val="24"/>
          <w:szCs w:val="32"/>
          <w:lang w:val="en-US" w:eastAsia="zh-CN"/>
        </w:rPr>
        <w:t>本次调查范围于两个地块红线关系图见图2.2-2。</w:t>
      </w:r>
    </w:p>
    <w:p w14:paraId="36CCCC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eastAsia="宋体"/>
          <w:color w:val="auto"/>
          <w:lang w:eastAsia="zh-CN"/>
        </w:rPr>
      </w:pPr>
      <w:r>
        <w:rPr>
          <w:rFonts w:hint="eastAsia" w:eastAsia="宋体"/>
          <w:color w:val="auto"/>
          <w:lang w:eastAsia="zh-CN"/>
        </w:rPr>
        <w:drawing>
          <wp:inline distT="0" distB="0" distL="114300" distR="114300">
            <wp:extent cx="4414520" cy="3788410"/>
            <wp:effectExtent l="0" t="0" r="5080" b="2540"/>
            <wp:docPr id="64" name="图片 2957" descr="1701224388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957" descr="1701224388342"/>
                    <pic:cNvPicPr>
                      <a:picLocks noChangeAspect="1"/>
                    </pic:cNvPicPr>
                  </pic:nvPicPr>
                  <pic:blipFill>
                    <a:blip r:embed="rId14"/>
                    <a:stretch>
                      <a:fillRect/>
                    </a:stretch>
                  </pic:blipFill>
                  <pic:spPr>
                    <a:xfrm>
                      <a:off x="0" y="0"/>
                      <a:ext cx="4414520" cy="3788410"/>
                    </a:xfrm>
                    <a:prstGeom prst="rect">
                      <a:avLst/>
                    </a:prstGeom>
                    <a:noFill/>
                    <a:ln>
                      <a:noFill/>
                    </a:ln>
                  </pic:spPr>
                </pic:pic>
              </a:graphicData>
            </a:graphic>
          </wp:inline>
        </w:drawing>
      </w:r>
    </w:p>
    <w:p w14:paraId="63F46C0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color w:val="auto"/>
          <w:sz w:val="24"/>
          <w:szCs w:val="32"/>
          <w:lang w:val="en-US" w:eastAsia="zh-CN"/>
        </w:rPr>
      </w:pPr>
      <w:r>
        <w:rPr>
          <w:rFonts w:hint="eastAsia" w:ascii="仿宋" w:hAnsi="仿宋" w:eastAsia="仿宋" w:cs="仿宋"/>
          <w:b/>
          <w:bCs/>
          <w:color w:val="auto"/>
          <w:sz w:val="24"/>
          <w:szCs w:val="32"/>
          <w:lang w:val="en-US" w:eastAsia="zh-CN"/>
        </w:rPr>
        <w:t>图2.2-1  本次调查范围拐点图</w:t>
      </w:r>
    </w:p>
    <w:p w14:paraId="769499CE">
      <w:pPr>
        <w:bidi w:val="0"/>
        <w:spacing w:line="240" w:lineRule="auto"/>
        <w:ind w:firstLine="0" w:firstLineChars="0"/>
        <w:jc w:val="center"/>
        <w:rPr>
          <w:rFonts w:ascii="Calibri" w:hAnsi="Calibri" w:cs="Times New Roman"/>
          <w:color w:val="auto"/>
          <w:sz w:val="21"/>
          <w:szCs w:val="24"/>
        </w:rPr>
      </w:pPr>
      <w:r>
        <w:rPr>
          <w:rFonts w:ascii="Calibri" w:hAnsi="Calibri" w:cs="Times New Roman"/>
          <w:color w:val="auto"/>
          <w:sz w:val="21"/>
          <w:szCs w:val="24"/>
        </w:rPr>
        <mc:AlternateContent>
          <mc:Choice Requires="wps">
            <w:drawing>
              <wp:anchor distT="0" distB="0" distL="114300" distR="114300" simplePos="0" relativeHeight="251661312" behindDoc="0" locked="0" layoutInCell="1" allowOverlap="1">
                <wp:simplePos x="0" y="0"/>
                <wp:positionH relativeFrom="column">
                  <wp:posOffset>703580</wp:posOffset>
                </wp:positionH>
                <wp:positionV relativeFrom="paragraph">
                  <wp:posOffset>196215</wp:posOffset>
                </wp:positionV>
                <wp:extent cx="3460750" cy="2651125"/>
                <wp:effectExtent l="7620" t="7620" r="17780" b="8255"/>
                <wp:wrapNone/>
                <wp:docPr id="19" name="任意多边形 491"/>
                <wp:cNvGraphicFramePr/>
                <a:graphic xmlns:a="http://schemas.openxmlformats.org/drawingml/2006/main">
                  <a:graphicData uri="http://schemas.microsoft.com/office/word/2010/wordprocessingShape">
                    <wps:wsp>
                      <wps:cNvSpPr/>
                      <wps:spPr>
                        <a:xfrm>
                          <a:off x="0" y="0"/>
                          <a:ext cx="3460750" cy="2651125"/>
                        </a:xfrm>
                        <a:custGeom>
                          <a:avLst/>
                          <a:gdLst/>
                          <a:ahLst/>
                          <a:cxnLst/>
                          <a:pathLst>
                            <a:path w="5450" h="4175">
                              <a:moveTo>
                                <a:pt x="1231" y="4175"/>
                              </a:moveTo>
                              <a:lnTo>
                                <a:pt x="5450" y="2881"/>
                              </a:lnTo>
                              <a:lnTo>
                                <a:pt x="4487" y="0"/>
                              </a:lnTo>
                              <a:lnTo>
                                <a:pt x="0" y="1281"/>
                              </a:lnTo>
                              <a:lnTo>
                                <a:pt x="1231" y="4175"/>
                              </a:lnTo>
                              <a:close/>
                            </a:path>
                          </a:pathLst>
                        </a:custGeom>
                        <a:gradFill rotWithShape="0">
                          <a:gsLst>
                            <a:gs pos="0">
                              <a:srgbClr val="FFFF00">
                                <a:alpha val="31000"/>
                              </a:srgbClr>
                            </a:gs>
                            <a:gs pos="100000">
                              <a:srgbClr val="FFFF00">
                                <a:gamma/>
                                <a:shade val="45882"/>
                                <a:invGamma/>
                                <a:alpha val="34000"/>
                              </a:srgbClr>
                            </a:gs>
                          </a:gsLst>
                          <a:lin ang="5400000" scaled="1"/>
                          <a:tileRect/>
                        </a:gradFill>
                        <a:ln w="15875" cap="flat" cmpd="sng">
                          <a:solidFill>
                            <a:srgbClr val="00B0F0"/>
                          </a:solidFill>
                          <a:prstDash val="solid"/>
                          <a:headEnd type="none" w="med" len="med"/>
                          <a:tailEnd type="none" w="med" len="med"/>
                        </a:ln>
                      </wps:spPr>
                      <wps:bodyPr wrap="square" upright="1"/>
                    </wps:wsp>
                  </a:graphicData>
                </a:graphic>
              </wp:anchor>
            </w:drawing>
          </mc:Choice>
          <mc:Fallback>
            <w:pict>
              <v:shape id="任意多边形 491" o:spid="_x0000_s1026" o:spt="100" style="position:absolute;left:0pt;margin-left:55.4pt;margin-top:15.45pt;height:208.75pt;width:272.5pt;z-index:251661312;mso-width-relative:page;mso-height-relative:page;" fillcolor="#FFFF00" filled="t" stroked="t" coordsize="5450,4175" o:gfxdata="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" path="m1231,4175l5450,2881,4487,0,0,1281,1231,4175xe">
                <v:fill type="gradient" on="t" color2="#757500" opacity="20316f" o:opacity2="22282f" focus="100%" focussize="0,0"/>
                <v:stroke weight="1.25pt" color="#00B0F0" joinstyle="round"/>
                <v:imagedata o:title=""/>
                <o:lock v:ext="edit" aspectratio="f"/>
              </v:shape>
            </w:pict>
          </mc:Fallback>
        </mc:AlternateContent>
      </w:r>
      <w:r>
        <w:rPr>
          <w:rFonts w:ascii="Calibri" w:hAnsi="Calibri" w:cs="Times New Roman"/>
          <w:color w:val="auto"/>
          <w:sz w:val="21"/>
          <w:szCs w:val="24"/>
        </w:rPr>
        <mc:AlternateContent>
          <mc:Choice Requires="wps">
            <w:drawing>
              <wp:anchor distT="0" distB="0" distL="114300" distR="114300" simplePos="0" relativeHeight="251664384" behindDoc="0" locked="0" layoutInCell="1" allowOverlap="1">
                <wp:simplePos x="0" y="0"/>
                <wp:positionH relativeFrom="column">
                  <wp:posOffset>3740150</wp:posOffset>
                </wp:positionH>
                <wp:positionV relativeFrom="paragraph">
                  <wp:posOffset>3145790</wp:posOffset>
                </wp:positionV>
                <wp:extent cx="168275" cy="102870"/>
                <wp:effectExtent l="4445" t="4445" r="17780" b="6985"/>
                <wp:wrapNone/>
                <wp:docPr id="22" name="矩形 492"/>
                <wp:cNvGraphicFramePr/>
                <a:graphic xmlns:a="http://schemas.openxmlformats.org/drawingml/2006/main">
                  <a:graphicData uri="http://schemas.microsoft.com/office/word/2010/wordprocessingShape">
                    <wps:wsp>
                      <wps:cNvSpPr/>
                      <wps:spPr>
                        <a:xfrm>
                          <a:off x="0" y="0"/>
                          <a:ext cx="168275" cy="102870"/>
                        </a:xfrm>
                        <a:prstGeom prst="rect">
                          <a:avLst/>
                        </a:prstGeom>
                        <a:solidFill>
                          <a:srgbClr val="FFFFFF"/>
                        </a:solidFill>
                        <a:ln w="9525" cap="flat" cmpd="sng">
                          <a:solidFill>
                            <a:srgbClr val="FF0000"/>
                          </a:solidFill>
                          <a:prstDash val="solid"/>
                          <a:miter/>
                          <a:headEnd type="none" w="med" len="med"/>
                          <a:tailEnd type="none" w="med" len="med"/>
                        </a:ln>
                      </wps:spPr>
                      <wps:bodyPr wrap="square" upright="1"/>
                    </wps:wsp>
                  </a:graphicData>
                </a:graphic>
              </wp:anchor>
            </w:drawing>
          </mc:Choice>
          <mc:Fallback>
            <w:pict>
              <v:rect id="矩形 492" o:spid="_x0000_s1026" o:spt="1" style="position:absolute;left:0pt;margin-left:294.5pt;margin-top:247.7pt;height:8.1pt;width:13.25pt;z-index:251664384;mso-width-relative:page;mso-height-relative:page;" fillcolor="#FFFFFF" filled="t" stroked="t" coordsize="21600,21600" o:gfxdata="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Y8W6J2QAAAAsBAAAPAAAAAAAAAAEAIAAAACIA&#10;AABkcnMvZG93bnJldi54bWxQSwECFAAUAAAACACHTuJAvxDJKQgCAAAuBAAADgAAAAAAAAABACAA&#10;AAAoAQAAZHJzL2Uyb0RvYy54bWxQSwUGAAAAAAYABgBZAQAAogUAAAAA&#10;">
                <v:fill on="t" focussize="0,0"/>
                <v:stroke color="#FF0000" joinstyle="miter"/>
                <v:imagedata o:title=""/>
                <o:lock v:ext="edit" aspectratio="f"/>
              </v:rect>
            </w:pict>
          </mc:Fallback>
        </mc:AlternateContent>
      </w:r>
      <w:r>
        <w:rPr>
          <w:rFonts w:ascii="Calibri" w:hAnsi="Calibri" w:cs="Times New Roman"/>
          <w:color w:val="auto"/>
          <w:sz w:val="21"/>
          <w:szCs w:val="24"/>
        </w:rPr>
        <mc:AlternateContent>
          <mc:Choice Requires="wps">
            <w:drawing>
              <wp:anchor distT="0" distB="0" distL="114300" distR="114300" simplePos="0" relativeHeight="251663360" behindDoc="0" locked="0" layoutInCell="1" allowOverlap="1">
                <wp:simplePos x="0" y="0"/>
                <wp:positionH relativeFrom="column">
                  <wp:posOffset>3740150</wp:posOffset>
                </wp:positionH>
                <wp:positionV relativeFrom="paragraph">
                  <wp:posOffset>2936875</wp:posOffset>
                </wp:positionV>
                <wp:extent cx="168275" cy="102870"/>
                <wp:effectExtent l="4445" t="4445" r="17780" b="6985"/>
                <wp:wrapNone/>
                <wp:docPr id="21" name="矩形 493"/>
                <wp:cNvGraphicFramePr/>
                <a:graphic xmlns:a="http://schemas.openxmlformats.org/drawingml/2006/main">
                  <a:graphicData uri="http://schemas.microsoft.com/office/word/2010/wordprocessingShape">
                    <wps:wsp>
                      <wps:cNvSpPr/>
                      <wps:spPr>
                        <a:xfrm>
                          <a:off x="0" y="0"/>
                          <a:ext cx="168275" cy="102870"/>
                        </a:xfrm>
                        <a:prstGeom prst="rect">
                          <a:avLst/>
                        </a:prstGeom>
                        <a:gradFill rotWithShape="0">
                          <a:gsLst>
                            <a:gs pos="0">
                              <a:srgbClr val="FFFF00">
                                <a:alpha val="34000"/>
                              </a:srgbClr>
                            </a:gs>
                            <a:gs pos="100000">
                              <a:srgbClr val="FFFF00">
                                <a:gamma/>
                                <a:shade val="45882"/>
                                <a:invGamma/>
                                <a:alpha val="34999"/>
                              </a:srgbClr>
                            </a:gs>
                          </a:gsLst>
                          <a:lin ang="5400000" scaled="1"/>
                          <a:tileRect/>
                        </a:gradFill>
                        <a:ln w="9525" cap="flat" cmpd="sng">
                          <a:solidFill>
                            <a:srgbClr val="00B0F0"/>
                          </a:solidFill>
                          <a:prstDash val="solid"/>
                          <a:miter/>
                          <a:headEnd type="none" w="med" len="med"/>
                          <a:tailEnd type="none" w="med" len="med"/>
                        </a:ln>
                      </wps:spPr>
                      <wps:bodyPr wrap="square" upright="1"/>
                    </wps:wsp>
                  </a:graphicData>
                </a:graphic>
              </wp:anchor>
            </w:drawing>
          </mc:Choice>
          <mc:Fallback>
            <w:pict>
              <v:rect id="矩形 493" o:spid="_x0000_s1026" o:spt="1" style="position:absolute;left:0pt;margin-left:294.5pt;margin-top:231.25pt;height:8.1pt;width:13.25pt;z-index:251663360;mso-width-relative:page;mso-height-relative:page;" fillcolor="#FFFF00" filled="t" stroked="t" coordsize="21600,21600" o:gfxdata="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FyC/ItsAAAALAQAADwAAAAAAAAABACAAAAAi&#10;AAAAZHJzL2Rvd25yZXYueG1sUEsBAhQAFAAAAAgAh07iQDlA28x5AgAANQUAAA4AAAAAAAAAAQAg&#10;AAAAKgEAAGRycy9lMm9Eb2MueG1sUEsFBgAAAAAGAAYAWQEAABUGAAAAAA==&#10;">
                <v:fill type="gradient" on="t" color2="#757500" opacity="22282f" o:opacity2="22936f" focus="100%" focussize="0,0"/>
                <v:stroke color="#00B0F0" joinstyle="miter"/>
                <v:imagedata o:title=""/>
                <o:lock v:ext="edit" aspectratio="f"/>
              </v:rect>
            </w:pict>
          </mc:Fallback>
        </mc:AlternateContent>
      </w:r>
      <w:r>
        <w:rPr>
          <w:rFonts w:ascii="Calibri" w:hAnsi="Calibri" w:cs="Times New Roman"/>
          <w:color w:val="auto"/>
          <w:sz w:val="21"/>
          <w:szCs w:val="24"/>
        </w:rPr>
        <mc:AlternateContent>
          <mc:Choice Requires="wps">
            <w:drawing>
              <wp:anchor distT="0" distB="0" distL="114300" distR="114300" simplePos="0" relativeHeight="251662336" behindDoc="0" locked="0" layoutInCell="1" allowOverlap="1">
                <wp:simplePos x="0" y="0"/>
                <wp:positionH relativeFrom="column">
                  <wp:posOffset>3633470</wp:posOffset>
                </wp:positionH>
                <wp:positionV relativeFrom="paragraph">
                  <wp:posOffset>2653030</wp:posOffset>
                </wp:positionV>
                <wp:extent cx="1151255" cy="670560"/>
                <wp:effectExtent l="4445" t="4445" r="6350" b="10795"/>
                <wp:wrapNone/>
                <wp:docPr id="20" name="文本框 494"/>
                <wp:cNvGraphicFramePr/>
                <a:graphic xmlns:a="http://schemas.openxmlformats.org/drawingml/2006/main">
                  <a:graphicData uri="http://schemas.microsoft.com/office/word/2010/wordprocessingShape">
                    <wps:wsp>
                      <wps:cNvSpPr txBox="1"/>
                      <wps:spPr>
                        <a:xfrm>
                          <a:off x="0" y="0"/>
                          <a:ext cx="1151255" cy="6705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14D3D25">
                            <w:pPr>
                              <w:keepNext w:val="0"/>
                              <w:keepLines w:val="0"/>
                              <w:pageBreakBefore w:val="0"/>
                              <w:widowControl w:val="0"/>
                              <w:kinsoku/>
                              <w:wordWrap/>
                              <w:overflowPunct/>
                              <w:topLinePunct w:val="0"/>
                              <w:bidi w:val="0"/>
                              <w:adjustRightInd/>
                              <w:snapToGrid/>
                              <w:spacing w:line="240" w:lineRule="auto"/>
                              <w:ind w:firstLine="0" w:firstLineChars="0"/>
                              <w:textAlignment w:val="auto"/>
                              <w:rPr>
                                <w:rFonts w:hint="default" w:ascii="Calibri" w:hAnsi="Calibri" w:cs="Times New Roman"/>
                                <w:sz w:val="16"/>
                                <w:szCs w:val="20"/>
                                <w:lang w:val="en-US" w:eastAsia="zh-CN"/>
                              </w:rPr>
                            </w:pPr>
                            <w:r>
                              <w:rPr>
                                <w:rFonts w:hint="eastAsia" w:ascii="Calibri" w:hAnsi="Calibri" w:cs="Times New Roman"/>
                                <w:sz w:val="16"/>
                                <w:szCs w:val="20"/>
                                <w:lang w:val="en-US" w:eastAsia="zh-CN"/>
                              </w:rPr>
                              <w:t>图例</w:t>
                            </w:r>
                          </w:p>
                          <w:p w14:paraId="23A9072A">
                            <w:pPr>
                              <w:keepNext w:val="0"/>
                              <w:keepLines w:val="0"/>
                              <w:pageBreakBefore w:val="0"/>
                              <w:widowControl w:val="0"/>
                              <w:kinsoku/>
                              <w:wordWrap/>
                              <w:overflowPunct/>
                              <w:topLinePunct w:val="0"/>
                              <w:bidi w:val="0"/>
                              <w:adjustRightInd/>
                              <w:snapToGrid/>
                              <w:spacing w:line="240" w:lineRule="auto"/>
                              <w:ind w:firstLine="480" w:firstLineChars="300"/>
                              <w:textAlignment w:val="auto"/>
                              <w:rPr>
                                <w:rFonts w:hint="eastAsia" w:ascii="Calibri" w:hAnsi="Calibri" w:cs="Times New Roman"/>
                                <w:sz w:val="16"/>
                                <w:szCs w:val="20"/>
                                <w:lang w:val="en-US" w:eastAsia="zh-CN"/>
                              </w:rPr>
                            </w:pPr>
                            <w:r>
                              <w:rPr>
                                <w:rFonts w:hint="eastAsia" w:ascii="Calibri" w:hAnsi="Calibri" w:cs="Times New Roman"/>
                                <w:sz w:val="16"/>
                                <w:szCs w:val="20"/>
                                <w:lang w:val="en-US" w:eastAsia="zh-CN"/>
                              </w:rPr>
                              <w:t>本次调查地块</w:t>
                            </w:r>
                          </w:p>
                          <w:p w14:paraId="0A26ED2E">
                            <w:pPr>
                              <w:keepNext w:val="0"/>
                              <w:keepLines w:val="0"/>
                              <w:pageBreakBefore w:val="0"/>
                              <w:widowControl w:val="0"/>
                              <w:kinsoku/>
                              <w:wordWrap/>
                              <w:overflowPunct/>
                              <w:topLinePunct w:val="0"/>
                              <w:bidi w:val="0"/>
                              <w:adjustRightInd/>
                              <w:snapToGrid/>
                              <w:spacing w:line="240" w:lineRule="auto"/>
                              <w:ind w:firstLine="480" w:firstLineChars="300"/>
                              <w:textAlignment w:val="auto"/>
                              <w:rPr>
                                <w:rFonts w:hint="default" w:ascii="Calibri" w:hAnsi="Calibri" w:cs="Times New Roman"/>
                                <w:sz w:val="16"/>
                                <w:szCs w:val="20"/>
                                <w:lang w:val="en-US" w:eastAsia="zh-CN"/>
                              </w:rPr>
                            </w:pPr>
                            <w:r>
                              <w:rPr>
                                <w:rFonts w:hint="eastAsia" w:ascii="Calibri" w:hAnsi="Calibri" w:cs="Times New Roman"/>
                                <w:sz w:val="16"/>
                                <w:szCs w:val="20"/>
                                <w:lang w:val="en-US" w:eastAsia="zh-CN"/>
                              </w:rPr>
                              <w:t>规划红线</w:t>
                            </w:r>
                          </w:p>
                        </w:txbxContent>
                      </wps:txbx>
                      <wps:bodyPr wrap="square" upright="1"/>
                    </wps:wsp>
                  </a:graphicData>
                </a:graphic>
              </wp:anchor>
            </w:drawing>
          </mc:Choice>
          <mc:Fallback>
            <w:pict>
              <v:shape id="文本框 494" o:spid="_x0000_s1026" o:spt="202" type="#_x0000_t202" style="position:absolute;left:0pt;margin-left:286.1pt;margin-top:208.9pt;height:52.8pt;width:90.65pt;z-index:251662336;mso-width-relative:page;mso-height-relative:page;" fillcolor="#FFFFFF" filled="t" stroked="t" coordsize="21600,21600" o:gfxdata="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baW+udkAAAALAQAA&#10;DwAAAAAAAAABACAAAAAiAAAAZHJzL2Rvd25yZXYueG1sUEsBAhQAFAAAAAgAh07iQOPhv04YAgAA&#10;RwQAAA4AAAAAAAAAAQAgAAAAKAEAAGRycy9lMm9Eb2MueG1sUEsFBgAAAAAGAAYAWQEAALIFAAAA&#10;AA==&#10;">
                <v:fill on="t" focussize="0,0"/>
                <v:stroke color="#000000" joinstyle="miter"/>
                <v:imagedata o:title=""/>
                <o:lock v:ext="edit" aspectratio="f"/>
                <v:textbox>
                  <w:txbxContent>
                    <w:p w14:paraId="414D3D25">
                      <w:pPr>
                        <w:keepNext w:val="0"/>
                        <w:keepLines w:val="0"/>
                        <w:pageBreakBefore w:val="0"/>
                        <w:widowControl w:val="0"/>
                        <w:kinsoku/>
                        <w:wordWrap/>
                        <w:overflowPunct/>
                        <w:topLinePunct w:val="0"/>
                        <w:bidi w:val="0"/>
                        <w:adjustRightInd/>
                        <w:snapToGrid/>
                        <w:spacing w:line="240" w:lineRule="auto"/>
                        <w:ind w:firstLine="0" w:firstLineChars="0"/>
                        <w:textAlignment w:val="auto"/>
                        <w:rPr>
                          <w:rFonts w:hint="default" w:ascii="Calibri" w:hAnsi="Calibri" w:cs="Times New Roman"/>
                          <w:sz w:val="16"/>
                          <w:szCs w:val="20"/>
                          <w:lang w:val="en-US" w:eastAsia="zh-CN"/>
                        </w:rPr>
                      </w:pPr>
                      <w:r>
                        <w:rPr>
                          <w:rFonts w:hint="eastAsia" w:ascii="Calibri" w:hAnsi="Calibri" w:cs="Times New Roman"/>
                          <w:sz w:val="16"/>
                          <w:szCs w:val="20"/>
                          <w:lang w:val="en-US" w:eastAsia="zh-CN"/>
                        </w:rPr>
                        <w:t>图例</w:t>
                      </w:r>
                    </w:p>
                    <w:p w14:paraId="23A9072A">
                      <w:pPr>
                        <w:keepNext w:val="0"/>
                        <w:keepLines w:val="0"/>
                        <w:pageBreakBefore w:val="0"/>
                        <w:widowControl w:val="0"/>
                        <w:kinsoku/>
                        <w:wordWrap/>
                        <w:overflowPunct/>
                        <w:topLinePunct w:val="0"/>
                        <w:bidi w:val="0"/>
                        <w:adjustRightInd/>
                        <w:snapToGrid/>
                        <w:spacing w:line="240" w:lineRule="auto"/>
                        <w:ind w:firstLine="480" w:firstLineChars="300"/>
                        <w:textAlignment w:val="auto"/>
                        <w:rPr>
                          <w:rFonts w:hint="eastAsia" w:ascii="Calibri" w:hAnsi="Calibri" w:cs="Times New Roman"/>
                          <w:sz w:val="16"/>
                          <w:szCs w:val="20"/>
                          <w:lang w:val="en-US" w:eastAsia="zh-CN"/>
                        </w:rPr>
                      </w:pPr>
                      <w:r>
                        <w:rPr>
                          <w:rFonts w:hint="eastAsia" w:ascii="Calibri" w:hAnsi="Calibri" w:cs="Times New Roman"/>
                          <w:sz w:val="16"/>
                          <w:szCs w:val="20"/>
                          <w:lang w:val="en-US" w:eastAsia="zh-CN"/>
                        </w:rPr>
                        <w:t>本次调查地块</w:t>
                      </w:r>
                    </w:p>
                    <w:p w14:paraId="0A26ED2E">
                      <w:pPr>
                        <w:keepNext w:val="0"/>
                        <w:keepLines w:val="0"/>
                        <w:pageBreakBefore w:val="0"/>
                        <w:widowControl w:val="0"/>
                        <w:kinsoku/>
                        <w:wordWrap/>
                        <w:overflowPunct/>
                        <w:topLinePunct w:val="0"/>
                        <w:bidi w:val="0"/>
                        <w:adjustRightInd/>
                        <w:snapToGrid/>
                        <w:spacing w:line="240" w:lineRule="auto"/>
                        <w:ind w:firstLine="480" w:firstLineChars="300"/>
                        <w:textAlignment w:val="auto"/>
                        <w:rPr>
                          <w:rFonts w:hint="default" w:ascii="Calibri" w:hAnsi="Calibri" w:cs="Times New Roman"/>
                          <w:sz w:val="16"/>
                          <w:szCs w:val="20"/>
                          <w:lang w:val="en-US" w:eastAsia="zh-CN"/>
                        </w:rPr>
                      </w:pPr>
                      <w:r>
                        <w:rPr>
                          <w:rFonts w:hint="eastAsia" w:ascii="Calibri" w:hAnsi="Calibri" w:cs="Times New Roman"/>
                          <w:sz w:val="16"/>
                          <w:szCs w:val="20"/>
                          <w:lang w:val="en-US" w:eastAsia="zh-CN"/>
                        </w:rPr>
                        <w:t>规划红线</w:t>
                      </w:r>
                    </w:p>
                  </w:txbxContent>
                </v:textbox>
              </v:shape>
            </w:pict>
          </mc:Fallback>
        </mc:AlternateContent>
      </w:r>
      <w:r>
        <w:rPr>
          <w:rFonts w:ascii="Calibri" w:hAnsi="Calibri" w:cs="Times New Roman"/>
          <w:color w:val="auto"/>
          <w:sz w:val="21"/>
          <w:szCs w:val="24"/>
        </w:rPr>
        <w:drawing>
          <wp:inline distT="0" distB="0" distL="114300" distR="114300">
            <wp:extent cx="4629785" cy="3175635"/>
            <wp:effectExtent l="0" t="0" r="18415" b="5715"/>
            <wp:docPr id="65" name="图片 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959"/>
                    <pic:cNvPicPr>
                      <a:picLocks noChangeAspect="1"/>
                    </pic:cNvPicPr>
                  </pic:nvPicPr>
                  <pic:blipFill>
                    <a:blip r:embed="rId15"/>
                    <a:stretch>
                      <a:fillRect/>
                    </a:stretch>
                  </pic:blipFill>
                  <pic:spPr>
                    <a:xfrm>
                      <a:off x="0" y="0"/>
                      <a:ext cx="4629785" cy="3175635"/>
                    </a:xfrm>
                    <a:prstGeom prst="rect">
                      <a:avLst/>
                    </a:prstGeom>
                    <a:solidFill>
                      <a:srgbClr val="D9D9D9"/>
                    </a:solidFill>
                    <a:ln>
                      <a:noFill/>
                    </a:ln>
                  </pic:spPr>
                </pic:pic>
              </a:graphicData>
            </a:graphic>
          </wp:inline>
        </w:drawing>
      </w:r>
    </w:p>
    <w:p w14:paraId="738FDE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jc w:val="center"/>
        <w:textAlignment w:val="auto"/>
        <w:outlineLvl w:val="9"/>
        <w:rPr>
          <w:rFonts w:hint="default" w:ascii="仿宋" w:hAnsi="仿宋" w:eastAsia="仿宋" w:cs="仿宋"/>
          <w:b/>
          <w:bCs/>
          <w:color w:val="auto"/>
          <w:sz w:val="24"/>
          <w:szCs w:val="32"/>
          <w:lang w:val="en-US" w:eastAsia="zh-CN"/>
        </w:rPr>
      </w:pPr>
      <w:r>
        <w:rPr>
          <w:rFonts w:hint="eastAsia" w:ascii="仿宋" w:hAnsi="仿宋" w:eastAsia="仿宋" w:cs="仿宋"/>
          <w:b/>
          <w:bCs/>
          <w:color w:val="auto"/>
          <w:sz w:val="24"/>
          <w:szCs w:val="32"/>
          <w:lang w:val="en-US" w:eastAsia="zh-CN"/>
        </w:rPr>
        <w:t>图1.1-2  规划建设意向图（含地块编号）</w:t>
      </w:r>
    </w:p>
    <w:p w14:paraId="736230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default"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本报告中所有点位坐标均采用 CGCS2000 坐标系，拐点坐标如下表所示。</w:t>
      </w:r>
    </w:p>
    <w:p w14:paraId="4F7DF92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color w:val="auto"/>
          <w:lang w:val="en-US" w:eastAsia="zh-CN"/>
        </w:rPr>
      </w:pPr>
      <w:r>
        <w:rPr>
          <w:rFonts w:hint="eastAsia" w:ascii="仿宋" w:hAnsi="仿宋" w:eastAsia="仿宋" w:cs="仿宋"/>
          <w:b/>
          <w:bCs/>
          <w:color w:val="auto"/>
          <w:lang w:val="en-US" w:eastAsia="zh-CN"/>
        </w:rPr>
        <w:t>表2.2-1  调查范围拐点坐标</w:t>
      </w:r>
    </w:p>
    <w:tbl>
      <w:tblPr>
        <w:tblStyle w:val="1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84"/>
        <w:gridCol w:w="3453"/>
        <w:gridCol w:w="3382"/>
      </w:tblGrid>
      <w:tr w14:paraId="667DE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88" w:type="pct"/>
            <w:tcBorders>
              <w:top w:val="single" w:color="000000" w:sz="4" w:space="0"/>
              <w:left w:val="single" w:color="000000" w:sz="4" w:space="0"/>
              <w:bottom w:val="single" w:color="000000" w:sz="4" w:space="0"/>
              <w:right w:val="single" w:color="000000" w:sz="4" w:space="0"/>
            </w:tcBorders>
            <w:noWrap/>
            <w:vAlign w:val="center"/>
          </w:tcPr>
          <w:p w14:paraId="3A6F1C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点位</w:t>
            </w:r>
          </w:p>
        </w:tc>
        <w:tc>
          <w:tcPr>
            <w:tcW w:w="2026" w:type="pct"/>
            <w:tcBorders>
              <w:top w:val="single" w:color="000000" w:sz="4" w:space="0"/>
              <w:left w:val="single" w:color="000000" w:sz="4" w:space="0"/>
              <w:bottom w:val="single" w:color="000000" w:sz="4" w:space="0"/>
              <w:right w:val="single" w:color="000000" w:sz="4" w:space="0"/>
            </w:tcBorders>
            <w:noWrap/>
            <w:vAlign w:val="center"/>
          </w:tcPr>
          <w:p w14:paraId="33682A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X</w:t>
            </w:r>
          </w:p>
        </w:tc>
        <w:tc>
          <w:tcPr>
            <w:tcW w:w="1984" w:type="pct"/>
            <w:tcBorders>
              <w:top w:val="single" w:color="000000" w:sz="4" w:space="0"/>
              <w:left w:val="single" w:color="000000" w:sz="4" w:space="0"/>
              <w:bottom w:val="single" w:color="000000" w:sz="4" w:space="0"/>
              <w:right w:val="single" w:color="000000" w:sz="4" w:space="0"/>
            </w:tcBorders>
            <w:noWrap/>
            <w:vAlign w:val="center"/>
          </w:tcPr>
          <w:p w14:paraId="604A9F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Y</w:t>
            </w:r>
          </w:p>
        </w:tc>
      </w:tr>
      <w:tr w14:paraId="67B50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88" w:type="pct"/>
            <w:tcBorders>
              <w:top w:val="single" w:color="000000" w:sz="4" w:space="0"/>
              <w:left w:val="single" w:color="000000" w:sz="4" w:space="0"/>
              <w:bottom w:val="single" w:color="000000" w:sz="4" w:space="0"/>
              <w:right w:val="single" w:color="000000" w:sz="4" w:space="0"/>
            </w:tcBorders>
            <w:noWrap/>
            <w:vAlign w:val="center"/>
          </w:tcPr>
          <w:p w14:paraId="343D2D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GD1</w:t>
            </w:r>
          </w:p>
        </w:tc>
        <w:tc>
          <w:tcPr>
            <w:tcW w:w="2026" w:type="pct"/>
            <w:tcBorders>
              <w:top w:val="single" w:color="000000" w:sz="4" w:space="0"/>
              <w:left w:val="single" w:color="000000" w:sz="4" w:space="0"/>
              <w:bottom w:val="single" w:color="000000" w:sz="4" w:space="0"/>
              <w:right w:val="single" w:color="000000" w:sz="4" w:space="0"/>
            </w:tcBorders>
            <w:noWrap/>
            <w:vAlign w:val="center"/>
          </w:tcPr>
          <w:p w14:paraId="7A09BF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3585336.136</w:t>
            </w:r>
          </w:p>
        </w:tc>
        <w:tc>
          <w:tcPr>
            <w:tcW w:w="1984" w:type="pct"/>
            <w:tcBorders>
              <w:top w:val="single" w:color="000000" w:sz="4" w:space="0"/>
              <w:left w:val="single" w:color="000000" w:sz="4" w:space="0"/>
              <w:bottom w:val="single" w:color="000000" w:sz="4" w:space="0"/>
              <w:right w:val="single" w:color="000000" w:sz="4" w:space="0"/>
            </w:tcBorders>
            <w:noWrap/>
            <w:vAlign w:val="center"/>
          </w:tcPr>
          <w:p w14:paraId="46DC88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40550126.630</w:t>
            </w:r>
          </w:p>
        </w:tc>
      </w:tr>
      <w:tr w14:paraId="628B6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88" w:type="pct"/>
            <w:tcBorders>
              <w:top w:val="single" w:color="000000" w:sz="4" w:space="0"/>
              <w:left w:val="single" w:color="000000" w:sz="4" w:space="0"/>
              <w:bottom w:val="single" w:color="000000" w:sz="4" w:space="0"/>
              <w:right w:val="single" w:color="000000" w:sz="4" w:space="0"/>
            </w:tcBorders>
            <w:noWrap/>
            <w:vAlign w:val="center"/>
          </w:tcPr>
          <w:p w14:paraId="24C1E7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GD2</w:t>
            </w:r>
          </w:p>
        </w:tc>
        <w:tc>
          <w:tcPr>
            <w:tcW w:w="2026" w:type="pct"/>
            <w:tcBorders>
              <w:top w:val="single" w:color="000000" w:sz="4" w:space="0"/>
              <w:left w:val="single" w:color="000000" w:sz="4" w:space="0"/>
              <w:bottom w:val="single" w:color="000000" w:sz="4" w:space="0"/>
              <w:right w:val="single" w:color="000000" w:sz="4" w:space="0"/>
            </w:tcBorders>
            <w:noWrap/>
            <w:vAlign w:val="center"/>
          </w:tcPr>
          <w:p w14:paraId="7EF807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3585447.642</w:t>
            </w:r>
          </w:p>
        </w:tc>
        <w:tc>
          <w:tcPr>
            <w:tcW w:w="1984" w:type="pct"/>
            <w:tcBorders>
              <w:top w:val="single" w:color="000000" w:sz="4" w:space="0"/>
              <w:left w:val="single" w:color="000000" w:sz="4" w:space="0"/>
              <w:bottom w:val="single" w:color="000000" w:sz="4" w:space="0"/>
              <w:right w:val="single" w:color="000000" w:sz="4" w:space="0"/>
            </w:tcBorders>
            <w:noWrap/>
            <w:vAlign w:val="center"/>
          </w:tcPr>
          <w:p w14:paraId="6E8CA5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40550447.778</w:t>
            </w:r>
          </w:p>
        </w:tc>
      </w:tr>
      <w:tr w14:paraId="59C38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88" w:type="pct"/>
            <w:tcBorders>
              <w:top w:val="single" w:color="000000" w:sz="4" w:space="0"/>
              <w:left w:val="single" w:color="000000" w:sz="4" w:space="0"/>
              <w:bottom w:val="single" w:color="000000" w:sz="4" w:space="0"/>
              <w:right w:val="single" w:color="000000" w:sz="4" w:space="0"/>
            </w:tcBorders>
            <w:noWrap/>
            <w:vAlign w:val="center"/>
          </w:tcPr>
          <w:p w14:paraId="586A49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GD3</w:t>
            </w:r>
          </w:p>
        </w:tc>
        <w:tc>
          <w:tcPr>
            <w:tcW w:w="2026" w:type="pct"/>
            <w:tcBorders>
              <w:top w:val="single" w:color="000000" w:sz="4" w:space="0"/>
              <w:left w:val="single" w:color="000000" w:sz="4" w:space="0"/>
              <w:bottom w:val="single" w:color="000000" w:sz="4" w:space="0"/>
              <w:right w:val="single" w:color="000000" w:sz="4" w:space="0"/>
            </w:tcBorders>
            <w:noWrap/>
            <w:vAlign w:val="center"/>
          </w:tcPr>
          <w:p w14:paraId="65B05A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3585187.993</w:t>
            </w:r>
          </w:p>
        </w:tc>
        <w:tc>
          <w:tcPr>
            <w:tcW w:w="1984" w:type="pct"/>
            <w:tcBorders>
              <w:top w:val="single" w:color="000000" w:sz="4" w:space="0"/>
              <w:left w:val="single" w:color="000000" w:sz="4" w:space="0"/>
              <w:bottom w:val="single" w:color="000000" w:sz="4" w:space="0"/>
              <w:right w:val="single" w:color="000000" w:sz="4" w:space="0"/>
            </w:tcBorders>
            <w:noWrap/>
            <w:vAlign w:val="center"/>
          </w:tcPr>
          <w:p w14:paraId="2FFAA6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40550529.155</w:t>
            </w:r>
          </w:p>
        </w:tc>
      </w:tr>
      <w:tr w14:paraId="59F4F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88" w:type="pct"/>
            <w:tcBorders>
              <w:top w:val="single" w:color="000000" w:sz="4" w:space="0"/>
              <w:left w:val="single" w:color="000000" w:sz="4" w:space="0"/>
              <w:bottom w:val="single" w:color="000000" w:sz="4" w:space="0"/>
              <w:right w:val="single" w:color="000000" w:sz="4" w:space="0"/>
            </w:tcBorders>
            <w:noWrap/>
            <w:vAlign w:val="center"/>
          </w:tcPr>
          <w:p w14:paraId="2C0C05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GD4</w:t>
            </w:r>
          </w:p>
        </w:tc>
        <w:tc>
          <w:tcPr>
            <w:tcW w:w="2026" w:type="pct"/>
            <w:tcBorders>
              <w:top w:val="single" w:color="000000" w:sz="4" w:space="0"/>
              <w:left w:val="single" w:color="000000" w:sz="4" w:space="0"/>
              <w:bottom w:val="single" w:color="000000" w:sz="4" w:space="0"/>
              <w:right w:val="single" w:color="000000" w:sz="4" w:space="0"/>
            </w:tcBorders>
            <w:noWrap/>
            <w:vAlign w:val="center"/>
          </w:tcPr>
          <w:p w14:paraId="2D9844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3585089.206</w:t>
            </w:r>
          </w:p>
        </w:tc>
        <w:tc>
          <w:tcPr>
            <w:tcW w:w="1984" w:type="pct"/>
            <w:tcBorders>
              <w:top w:val="single" w:color="000000" w:sz="4" w:space="0"/>
              <w:left w:val="single" w:color="000000" w:sz="4" w:space="0"/>
              <w:bottom w:val="single" w:color="000000" w:sz="4" w:space="0"/>
              <w:right w:val="single" w:color="000000" w:sz="4" w:space="0"/>
            </w:tcBorders>
            <w:noWrap/>
            <w:vAlign w:val="center"/>
          </w:tcPr>
          <w:p w14:paraId="575F12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 w:val="21"/>
                <w:szCs w:val="21"/>
                <w:highlight w:val="none"/>
                <w:lang w:val="en-US" w:eastAsia="zh-CN"/>
              </w:rPr>
              <w:t>40550223.744</w:t>
            </w:r>
          </w:p>
        </w:tc>
      </w:tr>
    </w:tbl>
    <w:p w14:paraId="27155EB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color w:val="auto"/>
          <w:lang w:val="en-US" w:eastAsia="zh-CN"/>
        </w:rPr>
      </w:pPr>
    </w:p>
    <w:p w14:paraId="6640CB82">
      <w:pPr>
        <w:ind w:left="0" w:leftChars="0" w:firstLine="0" w:firstLineChars="0"/>
        <w:rPr>
          <w:rFonts w:hint="eastAsia" w:ascii="仿宋" w:hAnsi="仿宋" w:eastAsia="仿宋" w:cs="仿宋"/>
          <w:color w:val="auto"/>
          <w:lang w:val="en-US" w:eastAsia="zh-CN"/>
        </w:rPr>
      </w:pPr>
    </w:p>
    <w:p w14:paraId="76E05CBF">
      <w:pPr>
        <w:ind w:left="0" w:leftChars="0" w:firstLine="0" w:firstLineChars="0"/>
        <w:rPr>
          <w:rFonts w:hint="eastAsia" w:ascii="仿宋" w:hAnsi="仿宋" w:eastAsia="仿宋" w:cs="仿宋"/>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966CBFC">
      <w:pPr>
        <w:pStyle w:val="4"/>
        <w:keepNext w:val="0"/>
        <w:keepLines w:val="0"/>
        <w:pageBreakBefore w:val="0"/>
        <w:kinsoku/>
        <w:wordWrap/>
        <w:overflowPunct/>
        <w:topLinePunct w:val="0"/>
        <w:autoSpaceDE/>
        <w:autoSpaceDN/>
        <w:bidi w:val="0"/>
        <w:adjustRightInd/>
        <w:snapToGrid/>
        <w:spacing w:after="0" w:afterLines="0"/>
        <w:ind w:left="0" w:leftChars="0" w:firstLine="0" w:firstLineChars="0"/>
        <w:textAlignment w:val="auto"/>
        <w:outlineLvl w:val="1"/>
        <w:rPr>
          <w:rFonts w:hint="eastAsia" w:ascii="仿宋" w:hAnsi="仿宋" w:eastAsia="仿宋" w:cs="仿宋"/>
          <w:b/>
          <w:bCs/>
          <w:color w:val="auto"/>
          <w:sz w:val="28"/>
          <w:szCs w:val="21"/>
          <w:lang w:val="en-US" w:eastAsia="zh-CN"/>
        </w:rPr>
      </w:pPr>
      <w:bookmarkStart w:id="54" w:name="_Toc18176"/>
      <w:bookmarkStart w:id="55" w:name="_Toc1373"/>
      <w:bookmarkStart w:id="56" w:name="_Toc26213"/>
      <w:bookmarkStart w:id="57" w:name="_Toc27635"/>
      <w:r>
        <w:rPr>
          <w:rFonts w:hint="eastAsia" w:ascii="仿宋" w:hAnsi="仿宋" w:eastAsia="仿宋" w:cs="仿宋"/>
          <w:b/>
          <w:bCs/>
          <w:color w:val="auto"/>
          <w:sz w:val="28"/>
          <w:szCs w:val="21"/>
          <w:lang w:val="en-US" w:eastAsia="zh-CN"/>
        </w:rPr>
        <w:t>2.3  调查依据</w:t>
      </w:r>
      <w:bookmarkEnd w:id="49"/>
      <w:bookmarkEnd w:id="50"/>
      <w:bookmarkEnd w:id="51"/>
      <w:bookmarkEnd w:id="52"/>
      <w:bookmarkEnd w:id="53"/>
      <w:bookmarkEnd w:id="54"/>
      <w:bookmarkEnd w:id="55"/>
      <w:bookmarkEnd w:id="56"/>
      <w:bookmarkEnd w:id="57"/>
    </w:p>
    <w:p w14:paraId="24649391">
      <w:pPr>
        <w:pStyle w:val="4"/>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bookmarkStart w:id="58" w:name="_Toc6818"/>
      <w:bookmarkStart w:id="59" w:name="_Toc4146"/>
      <w:bookmarkStart w:id="60" w:name="_Toc13539"/>
      <w:bookmarkStart w:id="61" w:name="_Toc1530"/>
      <w:bookmarkStart w:id="62" w:name="_Toc27812"/>
      <w:bookmarkStart w:id="63" w:name="_Toc5220"/>
      <w:bookmarkStart w:id="64" w:name="_Toc29488"/>
      <w:r>
        <w:rPr>
          <w:rFonts w:hint="eastAsia" w:ascii="仿宋" w:hAnsi="仿宋" w:eastAsia="仿宋" w:cs="仿宋"/>
          <w:b/>
          <w:bCs w:val="0"/>
          <w:color w:val="auto"/>
          <w:sz w:val="28"/>
          <w:szCs w:val="28"/>
          <w:lang w:val="en-US" w:eastAsia="zh-CN"/>
        </w:rPr>
        <w:t>2.3.1 国家有关法律法规</w:t>
      </w:r>
      <w:bookmarkEnd w:id="58"/>
      <w:bookmarkEnd w:id="59"/>
      <w:bookmarkEnd w:id="60"/>
      <w:bookmarkEnd w:id="61"/>
      <w:bookmarkEnd w:id="62"/>
      <w:r>
        <w:rPr>
          <w:rFonts w:hint="eastAsia" w:ascii="仿宋" w:hAnsi="仿宋" w:eastAsia="仿宋" w:cs="仿宋"/>
          <w:b/>
          <w:bCs w:val="0"/>
          <w:color w:val="auto"/>
          <w:sz w:val="28"/>
          <w:szCs w:val="28"/>
          <w:lang w:val="en-US" w:eastAsia="zh-CN"/>
        </w:rPr>
        <w:t>及规范性文件</w:t>
      </w:r>
      <w:bookmarkEnd w:id="63"/>
      <w:bookmarkEnd w:id="64"/>
    </w:p>
    <w:p w14:paraId="5B6720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bookmarkStart w:id="65" w:name="_Toc4600"/>
      <w:bookmarkStart w:id="66" w:name="_Toc1558"/>
      <w:bookmarkStart w:id="67" w:name="_Toc26492"/>
      <w:bookmarkStart w:id="68" w:name="_Toc376"/>
      <w:bookmarkStart w:id="69" w:name="_Toc5106"/>
      <w:r>
        <w:rPr>
          <w:rFonts w:hint="eastAsia" w:ascii="仿宋" w:hAnsi="仿宋" w:eastAsia="仿宋" w:cs="仿宋"/>
          <w:b w:val="0"/>
          <w:bCs w:val="0"/>
          <w:color w:val="auto"/>
          <w:sz w:val="24"/>
          <w:szCs w:val="32"/>
          <w:lang w:val="en-US" w:eastAsia="zh-CN"/>
        </w:rPr>
        <w:t>(1)《中华人民共和国环境保护法》（2014年4月24日，2015年1月1日起施行）；</w:t>
      </w:r>
    </w:p>
    <w:p w14:paraId="4CDD15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(2)《中华人民共和国土壤污染防治法》（2018年8月31日第十三届全国人民代表大会常务委员会第五次会议通过）；</w:t>
      </w:r>
    </w:p>
    <w:p w14:paraId="0237CC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(3)《中华人民共和国固体废物污染环境防治法》（2020年9月1日施行）；</w:t>
      </w:r>
    </w:p>
    <w:p w14:paraId="5DB4FE2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(4)《土壤污染防治行动计划》（国发〔2016〕31号）；</w:t>
      </w:r>
    </w:p>
    <w:p w14:paraId="087164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(5)《关于保障工业企业场地开发利用环境安全的通知》（环发 〔2012〕140号）；</w:t>
      </w:r>
    </w:p>
    <w:p w14:paraId="2F52CE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(6)《国务院关于印发土壤污染防治行动计划的通知》（国发 [2016]31号）；</w:t>
      </w:r>
    </w:p>
    <w:p w14:paraId="2F6906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(7)《污染地块土壤环境管理办法（试行）》（环境保护部令第42 号）；</w:t>
      </w:r>
    </w:p>
    <w:p w14:paraId="483548F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(8)《关于贯彻落实土壤污染防治法推动解决突出土壤污染问题的 实施意见》（环办土壤〔2019〕47号）；</w:t>
      </w:r>
    </w:p>
    <w:p w14:paraId="315AC8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(9)《关于印发地下水污染防治实施方案的通知》（环土壤〔2019〕 25号）；</w:t>
      </w:r>
    </w:p>
    <w:p w14:paraId="2D957A13">
      <w:pPr>
        <w:pStyle w:val="4"/>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480" w:firstLineChars="200"/>
        <w:textAlignment w:val="auto"/>
        <w:rPr>
          <w:rFonts w:hint="eastAsia" w:ascii="仿宋" w:hAnsi="仿宋" w:eastAsia="仿宋" w:cs="仿宋"/>
          <w:color w:val="auto"/>
        </w:rPr>
      </w:pPr>
      <w:r>
        <w:rPr>
          <w:rFonts w:hint="eastAsia" w:ascii="仿宋" w:hAnsi="仿宋" w:eastAsia="仿宋" w:cs="仿宋"/>
          <w:b w:val="0"/>
          <w:bCs w:val="0"/>
          <w:color w:val="auto"/>
          <w:sz w:val="24"/>
          <w:szCs w:val="32"/>
          <w:lang w:val="en-US" w:eastAsia="zh-CN"/>
        </w:rPr>
        <w:t>(10)关于发布《建设用地土壤污染状况初步调查监督检查工作指南（试行）》《建设用地土壤污染状况调查质量控制技术规定（试行）》的公告（公告 2022年 第17号）。</w:t>
      </w:r>
    </w:p>
    <w:p w14:paraId="3C32E453">
      <w:pPr>
        <w:pStyle w:val="4"/>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bookmarkStart w:id="70" w:name="_Toc6237"/>
      <w:bookmarkStart w:id="71" w:name="_Toc22223"/>
      <w:r>
        <w:rPr>
          <w:rFonts w:hint="eastAsia" w:ascii="仿宋" w:hAnsi="仿宋" w:eastAsia="仿宋" w:cs="仿宋"/>
          <w:b/>
          <w:bCs w:val="0"/>
          <w:color w:val="auto"/>
          <w:sz w:val="28"/>
          <w:szCs w:val="28"/>
          <w:lang w:val="en-US" w:eastAsia="zh-CN"/>
        </w:rPr>
        <w:t>2.3.2 地方有关法规、规章及规范性文件</w:t>
      </w:r>
      <w:bookmarkEnd w:id="70"/>
      <w:bookmarkEnd w:id="71"/>
    </w:p>
    <w:p w14:paraId="6E6E1CCB">
      <w:pPr>
        <w:pStyle w:val="4"/>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480" w:firstLineChars="200"/>
        <w:textAlignment w:val="auto"/>
        <w:rPr>
          <w:rFonts w:hint="eastAsia" w:ascii="仿宋" w:hAnsi="仿宋" w:eastAsia="仿宋" w:cs="仿宋"/>
          <w:b w:val="0"/>
          <w:bCs w:val="0"/>
          <w:color w:val="auto"/>
          <w:sz w:val="24"/>
          <w:szCs w:val="32"/>
          <w:lang w:val="en-US" w:eastAsia="zh-CN"/>
        </w:rPr>
      </w:pPr>
      <w:bookmarkStart w:id="72" w:name="_Toc8637"/>
      <w:bookmarkStart w:id="73" w:name="_Toc6233"/>
      <w:r>
        <w:rPr>
          <w:rFonts w:hint="eastAsia" w:ascii="仿宋" w:hAnsi="仿宋" w:eastAsia="仿宋" w:cs="仿宋"/>
          <w:b w:val="0"/>
          <w:bCs w:val="0"/>
          <w:color w:val="auto"/>
          <w:sz w:val="24"/>
          <w:szCs w:val="32"/>
          <w:lang w:val="en-US" w:eastAsia="zh-CN"/>
        </w:rPr>
        <w:t>(1)《中共江苏省委江苏省人民政府关于加强生态环境保护和建设 的意见》（苏发〔2003〕7号,2003年4月）；</w:t>
      </w:r>
    </w:p>
    <w:p w14:paraId="4EFF6534">
      <w:pPr>
        <w:pStyle w:val="4"/>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480" w:firstLineChars="200"/>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(2)《江苏省固体废物污染环境防治条例》（公告第29号，2009年9月23日）；</w:t>
      </w:r>
    </w:p>
    <w:p w14:paraId="5643B46E">
      <w:pPr>
        <w:pStyle w:val="4"/>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480" w:firstLineChars="200"/>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(3)《关于加强我省工业企业场地再开发利用环境安全管理工作的 通知》（苏环办〔2013〕157号文）；</w:t>
      </w:r>
    </w:p>
    <w:p w14:paraId="79748E61">
      <w:pPr>
        <w:pStyle w:val="4"/>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480" w:firstLineChars="200"/>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(4)《江苏省政府关于印发江苏省土壤污染防治工作方案的通知》 （苏政发〔2016〕169 号，2016年12月27日）；</w:t>
      </w:r>
    </w:p>
    <w:p w14:paraId="1E3DA054">
      <w:pPr>
        <w:pStyle w:val="4"/>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480" w:firstLineChars="200"/>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(5)《江苏省土壤污染防治条例》（2022年3月31日江苏省第十三 届人民代表大会常务委员会第二十九次会议通过）；</w:t>
      </w:r>
    </w:p>
    <w:p w14:paraId="6CD8B8A5">
      <w:pPr>
        <w:pStyle w:val="4"/>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480" w:firstLineChars="200"/>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(6)《南通市土壤污染防治工作方案》（通政发〔2017〕20号，2017年3月）；</w:t>
      </w:r>
    </w:p>
    <w:p w14:paraId="6EDAB4C0">
      <w:pPr>
        <w:pStyle w:val="4"/>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480" w:firstLineChars="200"/>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(7)《南通市生态环境局关于加强污染地块环境监管的通知》（通土环〔2019〕4号）；</w:t>
      </w:r>
    </w:p>
    <w:p w14:paraId="6D41F75B">
      <w:pPr>
        <w:pStyle w:val="4"/>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480" w:firstLineChars="200"/>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(8)关于印发《南通市建设用地土壤污染状况调查报告评审工作指南（2023 年修订）》（〔2023〕10号）。</w:t>
      </w:r>
    </w:p>
    <w:p w14:paraId="6BEFB866">
      <w:pPr>
        <w:pStyle w:val="4"/>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r>
        <w:rPr>
          <w:rFonts w:hint="eastAsia" w:ascii="仿宋" w:hAnsi="仿宋" w:eastAsia="仿宋" w:cs="仿宋"/>
          <w:b/>
          <w:bCs w:val="0"/>
          <w:color w:val="auto"/>
          <w:sz w:val="28"/>
          <w:szCs w:val="28"/>
          <w:lang w:val="en-US" w:eastAsia="zh-CN"/>
        </w:rPr>
        <w:t>2.3.3 技术导则、相关标准及规范</w:t>
      </w:r>
      <w:bookmarkEnd w:id="65"/>
      <w:bookmarkEnd w:id="66"/>
      <w:bookmarkEnd w:id="67"/>
      <w:bookmarkEnd w:id="68"/>
      <w:bookmarkEnd w:id="69"/>
      <w:bookmarkEnd w:id="72"/>
      <w:bookmarkEnd w:id="73"/>
    </w:p>
    <w:p w14:paraId="1CAFC2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bookmarkStart w:id="74" w:name="_Toc25779"/>
      <w:r>
        <w:rPr>
          <w:rFonts w:hint="eastAsia" w:ascii="仿宋" w:hAnsi="仿宋" w:eastAsia="仿宋" w:cs="仿宋"/>
          <w:b w:val="0"/>
          <w:bCs w:val="0"/>
          <w:color w:val="auto"/>
          <w:sz w:val="24"/>
          <w:szCs w:val="32"/>
          <w:lang w:val="en-US" w:eastAsia="zh-CN"/>
        </w:rPr>
        <w:t>(1)《建设用地土壤污染风险管控和修复术语》（HJ682-2019）；</w:t>
      </w:r>
    </w:p>
    <w:p w14:paraId="1D17E4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(2)《建设用地土壤污染状况调查技术导则》（HJ25.1-2019）；</w:t>
      </w:r>
    </w:p>
    <w:p w14:paraId="5D7560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(3)《建设用地土壤污染风险管控和修复监测技术导则》（HJ25.2-2019）；</w:t>
      </w:r>
    </w:p>
    <w:p w14:paraId="4F51B6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(4)《建设用地土壤污染风险评估技术导则》（HJ25.3-2019）；</w:t>
      </w:r>
    </w:p>
    <w:p w14:paraId="146B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(5)《污染地块风险管控与土壤修复效果评估技术导则（试行）》（HJ25.5-2018）;</w:t>
      </w:r>
    </w:p>
    <w:p w14:paraId="47CE77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(6)《复合污染工业地块调查技术指南》（DB32/T 4424-2022）；</w:t>
      </w:r>
    </w:p>
    <w:p w14:paraId="523B59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(7)《地下水环境状况调查评价工作指南》（环办土壤函〔2019〕770号）；</w:t>
      </w:r>
    </w:p>
    <w:p w14:paraId="1403CAC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(8)《地下水污染模拟预测评估工作指南》（试行）（环办土壤函〔2019〕770号）；</w:t>
      </w:r>
    </w:p>
    <w:p w14:paraId="7357F18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(9)《地下水污染健康风险评估工作指南》（环办土壤函〔2019〕770号）；</w:t>
      </w:r>
    </w:p>
    <w:p w14:paraId="761771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(10)《地下水污染防治分区划分工作指南》（环办土壤函〔2019〕770号）；</w:t>
      </w:r>
    </w:p>
    <w:p w14:paraId="205975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(11)《建设用地土壤环境调查评估技术指南》（公告 2017年 第72 号）；</w:t>
      </w:r>
    </w:p>
    <w:p w14:paraId="056455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(12)《工业企业场地环境调查评估与修复工作指南（试行）》（公告 2014年 第78号）；</w:t>
      </w:r>
    </w:p>
    <w:p w14:paraId="1756DA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(13)《土壤环境监测技术规范》（HJ/T166-2004）；</w:t>
      </w:r>
    </w:p>
    <w:p w14:paraId="5CC799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(14)《地下水环境监测技术规范》（HJ 164-2020）；</w:t>
      </w:r>
    </w:p>
    <w:p w14:paraId="7A3C7C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default"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(15)《地表水环境质量监测技术规范》（HJ91.2-2022）；</w:t>
      </w:r>
    </w:p>
    <w:p w14:paraId="1BC6B7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(16)《水质样品的保存和管理技术规定》（HJ 493—2009）；</w:t>
      </w:r>
    </w:p>
    <w:p w14:paraId="32E3C32B">
      <w:pPr>
        <w:pStyle w:val="4"/>
        <w:keepNext w:val="0"/>
        <w:keepLines w:val="0"/>
        <w:pageBreakBefore w:val="0"/>
        <w:widowControl w:val="0"/>
        <w:numPr>
          <w:ilvl w:val="0"/>
          <w:numId w:val="0"/>
        </w:numPr>
        <w:kinsoku/>
        <w:wordWrap/>
        <w:overflowPunct/>
        <w:topLinePunct w:val="0"/>
        <w:autoSpaceDE/>
        <w:autoSpaceDN/>
        <w:bidi w:val="0"/>
        <w:adjustRightInd/>
        <w:snapToGrid/>
        <w:spacing w:after="0"/>
        <w:ind w:leftChars="200"/>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(17)《地块土壤和地下水中挥发性有机物采样技术导则》（HJ1019-2019）。</w:t>
      </w:r>
    </w:p>
    <w:p w14:paraId="4060FA2C">
      <w:pPr>
        <w:rPr>
          <w:rFonts w:hint="eastAsia"/>
          <w:color w:val="auto"/>
          <w:lang w:val="en-US" w:eastAsia="zh-CN"/>
        </w:rPr>
      </w:pPr>
    </w:p>
    <w:p w14:paraId="1E971142">
      <w:pPr>
        <w:pStyle w:val="4"/>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bookmarkStart w:id="75" w:name="_Toc4940"/>
      <w:bookmarkStart w:id="76" w:name="_Toc10326"/>
      <w:r>
        <w:rPr>
          <w:rFonts w:hint="eastAsia" w:ascii="仿宋" w:hAnsi="仿宋" w:eastAsia="仿宋" w:cs="仿宋"/>
          <w:b/>
          <w:bCs w:val="0"/>
          <w:color w:val="auto"/>
          <w:sz w:val="28"/>
          <w:szCs w:val="28"/>
          <w:lang w:val="en-US" w:eastAsia="zh-CN"/>
        </w:rPr>
        <w:t>2.3.4 评价标准</w:t>
      </w:r>
      <w:bookmarkEnd w:id="74"/>
      <w:bookmarkEnd w:id="75"/>
      <w:bookmarkEnd w:id="76"/>
    </w:p>
    <w:p w14:paraId="20A189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（1）《土壤环境质量 建设用地土壤污染风险管控标准（试行）》（GB 36600-2018）；</w:t>
      </w:r>
    </w:p>
    <w:p w14:paraId="2C17F0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（2）《地下水质量标准》（GB/T 14848-2017）；</w:t>
      </w:r>
    </w:p>
    <w:p w14:paraId="4EB401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（3）上海市生态环境局关于印发《上海市建设用地土壤污染状况调查、风险评估、风险管控与修复方案编制、风险管控与修复效果评估工作的补充规定（试 行）》的通知（沪环土〔2020〕62号）；</w:t>
      </w:r>
    </w:p>
    <w:p w14:paraId="15E9797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（4）深圳市《建设用地土壤污染风险筛选值和管制值（DB4403/T 67—2020）》；</w:t>
      </w:r>
    </w:p>
    <w:p w14:paraId="740553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（5）河北省《建设用地土壤污染风险筛选值》(DB13/T5216-2020）；</w:t>
      </w:r>
    </w:p>
    <w:p w14:paraId="314223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（6）黑龙江省《土壤污染防治风险筛选指导值（试行）》（DB23/T3314-2022）；</w:t>
      </w:r>
    </w:p>
    <w:p w14:paraId="4E6530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（7）《污染场地风险评估电子表格》；</w:t>
      </w:r>
    </w:p>
    <w:p w14:paraId="183BA1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bookmarkStart w:id="77" w:name="_Toc5069"/>
      <w:bookmarkStart w:id="78" w:name="_Toc9530"/>
      <w:bookmarkStart w:id="79" w:name="_Toc10113"/>
      <w:bookmarkStart w:id="80" w:name="_Toc17550"/>
      <w:bookmarkStart w:id="81" w:name="_Toc10397"/>
      <w:bookmarkStart w:id="82" w:name="_Toc5490"/>
      <w:bookmarkStart w:id="83" w:name="_Toc16002"/>
      <w:r>
        <w:rPr>
          <w:rFonts w:hint="eastAsia" w:ascii="仿宋" w:hAnsi="仿宋" w:eastAsia="仿宋" w:cs="仿宋"/>
          <w:b w:val="0"/>
          <w:bCs w:val="0"/>
          <w:color w:val="auto"/>
          <w:sz w:val="24"/>
          <w:szCs w:val="32"/>
          <w:lang w:val="en-US" w:eastAsia="zh-CN"/>
        </w:rPr>
        <w:t>（8）《地表水环境质量标准》（GB3838-2002）。</w:t>
      </w:r>
    </w:p>
    <w:p w14:paraId="6E435E63">
      <w:pPr>
        <w:pStyle w:val="4"/>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r>
        <w:rPr>
          <w:rFonts w:hint="eastAsia" w:ascii="仿宋" w:hAnsi="仿宋" w:eastAsia="仿宋" w:cs="仿宋"/>
          <w:b/>
          <w:bCs w:val="0"/>
          <w:color w:val="auto"/>
          <w:sz w:val="28"/>
          <w:szCs w:val="28"/>
          <w:lang w:val="en-US" w:eastAsia="zh-CN"/>
        </w:rPr>
        <w:t>2.3.5 其他资料</w:t>
      </w:r>
      <w:bookmarkEnd w:id="77"/>
      <w:bookmarkEnd w:id="78"/>
      <w:bookmarkEnd w:id="79"/>
      <w:bookmarkEnd w:id="80"/>
      <w:bookmarkEnd w:id="81"/>
      <w:bookmarkEnd w:id="82"/>
      <w:bookmarkEnd w:id="83"/>
    </w:p>
    <w:p w14:paraId="01856300">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（1）如皋城西片区一期广福路北、花城大道东（319#B）地块红线图（如皋市行政审批局  2023年9月）；</w:t>
      </w:r>
    </w:p>
    <w:p w14:paraId="7CB8C847">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（2）</w:t>
      </w:r>
      <w:r>
        <w:rPr>
          <w:rFonts w:hint="eastAsia" w:ascii="仿宋" w:hAnsi="仿宋" w:eastAsia="仿宋" w:cs="仿宋"/>
          <w:color w:val="auto"/>
          <w:kern w:val="0"/>
          <w:sz w:val="24"/>
          <w:szCs w:val="24"/>
          <w:lang w:val="en-US" w:eastAsia="zh-CN" w:bidi="ar"/>
        </w:rPr>
        <w:t>《开发GJ2021-273#51商业楼项目岩土工程勘察报告</w:t>
      </w:r>
      <w:r>
        <w:rPr>
          <w:rFonts w:hint="eastAsia" w:ascii="仿宋" w:hAnsi="仿宋" w:eastAsia="仿宋" w:cs="仿宋"/>
          <w:color w:val="auto"/>
          <w:sz w:val="24"/>
          <w:szCs w:val="24"/>
          <w:lang w:val="en-US" w:eastAsia="zh-CN"/>
        </w:rPr>
        <w:t>（勘察编号：2022R002）</w:t>
      </w:r>
      <w:r>
        <w:rPr>
          <w:rFonts w:hint="eastAsia" w:ascii="仿宋" w:hAnsi="仿宋" w:eastAsia="仿宋" w:cs="仿宋"/>
          <w:color w:val="auto"/>
          <w:kern w:val="0"/>
          <w:sz w:val="24"/>
          <w:szCs w:val="24"/>
          <w:lang w:val="en-US" w:eastAsia="zh-CN" w:bidi="ar"/>
        </w:rPr>
        <w:t>》</w:t>
      </w:r>
      <w:r>
        <w:rPr>
          <w:rFonts w:hint="eastAsia" w:ascii="仿宋" w:hAnsi="仿宋" w:eastAsia="仿宋" w:cs="仿宋"/>
          <w:color w:val="auto"/>
          <w:lang w:eastAsia="zh-CN"/>
        </w:rPr>
        <w:t>；</w:t>
      </w:r>
    </w:p>
    <w:p w14:paraId="2F5D0309">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（3）市政府关于《如皋市城区福寿路以南B、D、E单元等区域控制性详细规划》的批复（皋政复【2022】20号）；</w:t>
      </w:r>
    </w:p>
    <w:p w14:paraId="678F6907">
      <w:pPr>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（4）周边企业环评资料及重点行业信息采集报告资料等。</w:t>
      </w:r>
    </w:p>
    <w:p w14:paraId="6431E9AD">
      <w:pPr>
        <w:pStyle w:val="12"/>
        <w:keepNext w:val="0"/>
        <w:keepLines w:val="0"/>
        <w:pageBreakBefore w:val="0"/>
        <w:widowControl w:val="0"/>
        <w:kinsoku/>
        <w:wordWrap/>
        <w:overflowPunct/>
        <w:topLinePunct w:val="0"/>
        <w:autoSpaceDE/>
        <w:autoSpaceDN/>
        <w:bidi w:val="0"/>
        <w:adjustRightInd/>
        <w:snapToGrid/>
        <w:spacing w:after="0" w:afterLines="0"/>
        <w:ind w:left="0" w:firstLine="480" w:firstLineChars="200"/>
        <w:textAlignment w:val="auto"/>
        <w:rPr>
          <w:rFonts w:hint="eastAsia" w:ascii="仿宋" w:hAnsi="仿宋" w:eastAsia="仿宋" w:cs="仿宋"/>
          <w:color w:val="auto"/>
          <w:sz w:val="24"/>
          <w:szCs w:val="18"/>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631AD18">
      <w:pPr>
        <w:pStyle w:val="4"/>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1"/>
        <w:rPr>
          <w:rFonts w:hint="eastAsia" w:ascii="仿宋" w:hAnsi="仿宋" w:eastAsia="仿宋" w:cs="仿宋"/>
          <w:b/>
          <w:bCs w:val="0"/>
          <w:color w:val="auto"/>
          <w:sz w:val="28"/>
          <w:szCs w:val="28"/>
          <w:lang w:val="en-US" w:eastAsia="zh-CN"/>
        </w:rPr>
      </w:pPr>
      <w:bookmarkStart w:id="84" w:name="_Toc31012"/>
      <w:bookmarkStart w:id="85" w:name="_Toc7083"/>
      <w:bookmarkStart w:id="86" w:name="_Toc16225"/>
      <w:bookmarkStart w:id="87" w:name="_Toc8181"/>
      <w:bookmarkStart w:id="88" w:name="_Toc15596"/>
      <w:bookmarkStart w:id="89" w:name="_Toc19182"/>
      <w:r>
        <w:rPr>
          <w:rFonts w:hint="eastAsia" w:ascii="仿宋" w:hAnsi="仿宋" w:eastAsia="仿宋" w:cs="仿宋"/>
          <w:b/>
          <w:bCs w:val="0"/>
          <w:color w:val="auto"/>
          <w:sz w:val="28"/>
          <w:szCs w:val="28"/>
          <w:lang w:val="en-US" w:eastAsia="zh-CN"/>
        </w:rPr>
        <w:t xml:space="preserve">2.4  </w:t>
      </w:r>
      <w:bookmarkEnd w:id="84"/>
      <w:bookmarkEnd w:id="85"/>
      <w:r>
        <w:rPr>
          <w:rFonts w:hint="eastAsia" w:ascii="仿宋" w:hAnsi="仿宋" w:eastAsia="仿宋" w:cs="仿宋"/>
          <w:b/>
          <w:bCs w:val="0"/>
          <w:color w:val="auto"/>
          <w:sz w:val="28"/>
          <w:szCs w:val="28"/>
          <w:lang w:val="en-US" w:eastAsia="zh-CN"/>
        </w:rPr>
        <w:t>调查方法</w:t>
      </w:r>
      <w:bookmarkEnd w:id="86"/>
      <w:bookmarkEnd w:id="87"/>
      <w:bookmarkEnd w:id="88"/>
      <w:bookmarkEnd w:id="89"/>
    </w:p>
    <w:p w14:paraId="0FF1B2ED">
      <w:pPr>
        <w:keepNext w:val="0"/>
        <w:keepLines w:val="0"/>
        <w:pageBreakBefore w:val="0"/>
        <w:kinsoku/>
        <w:wordWrap/>
        <w:overflowPunct/>
        <w:topLinePunct w:val="0"/>
        <w:bidi w:val="0"/>
        <w:spacing w:line="360" w:lineRule="auto"/>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土壤污染状况调查工作主要依据《建设用地土壤污染状况调查技术导则》（HJ 25.1-2019）中的工作程序，其调查的工作程序如下图所示，其中红线标识为本次调查的主要内容：</w:t>
      </w:r>
    </w:p>
    <w:p w14:paraId="09A7B0D5">
      <w:pPr>
        <w:pStyle w:val="4"/>
        <w:keepNext w:val="0"/>
        <w:keepLines w:val="0"/>
        <w:pageBreakBefore w:val="0"/>
        <w:widowControl w:val="0"/>
        <w:kinsoku/>
        <w:wordWrap/>
        <w:overflowPunct/>
        <w:topLinePunct w:val="0"/>
        <w:autoSpaceDE/>
        <w:autoSpaceDN/>
        <w:bidi w:val="0"/>
        <w:adjustRightInd/>
        <w:snapToGrid/>
        <w:spacing w:after="0"/>
        <w:ind w:firstLine="0" w:firstLineChars="0"/>
        <w:jc w:val="both"/>
        <w:textAlignment w:val="auto"/>
        <w:rPr>
          <w:rFonts w:hint="eastAsia" w:ascii="仿宋" w:hAnsi="仿宋" w:eastAsia="仿宋" w:cs="仿宋"/>
          <w:b/>
          <w:bCs/>
          <w:color w:val="auto"/>
          <w:lang w:val="en-US" w:eastAsia="zh-CN"/>
        </w:rPr>
      </w:pPr>
      <w:r>
        <w:rPr>
          <w:rFonts w:hint="eastAsia" w:ascii="仿宋" w:hAnsi="仿宋" w:eastAsia="仿宋" w:cs="仿宋"/>
          <w:color w:val="auto"/>
        </w:rPr>
        <w:object>
          <v:shape id="_x0000_i1025" o:spt="75" type="#_x0000_t75" style="height:537.3pt;width:409pt;" o:ole="t" filled="f" o:preferrelative="t" stroked="f" coordsize="21600,21600">
            <v:path/>
            <v:fill on="f" focussize="0,0"/>
            <v:stroke on="f"/>
            <v:imagedata r:id="rId17" o:title=""/>
            <o:lock v:ext="edit" aspectratio="f"/>
            <w10:wrap type="none"/>
            <w10:anchorlock/>
          </v:shape>
          <o:OLEObject Type="Embed" ProgID="Visio.Drawing.11" ShapeID="_x0000_i1025" DrawAspect="Content" ObjectID="_1468075725" r:id="rId16">
            <o:LockedField>false</o:LockedField>
          </o:OLEObject>
        </w:object>
      </w:r>
      <w:r>
        <w:rPr>
          <w:rFonts w:hint="eastAsia" w:ascii="仿宋" w:hAnsi="仿宋" w:eastAsia="仿宋" w:cs="仿宋"/>
          <w:b/>
          <w:bCs/>
          <w:color w:val="auto"/>
          <w:lang w:val="en-US" w:eastAsia="zh-CN"/>
        </w:rPr>
        <w:t>图1.4-1土壤污染状况调查的工作内容与程序(红线范围为本次调查内容）</w:t>
      </w:r>
    </w:p>
    <w:p w14:paraId="213491CF">
      <w:pPr>
        <w:bidi w:val="0"/>
        <w:rPr>
          <w:rFonts w:hint="eastAsia" w:ascii="仿宋" w:hAnsi="仿宋" w:eastAsia="仿宋" w:cs="仿宋"/>
          <w:color w:val="auto"/>
          <w:lang w:val="en-US" w:eastAsia="zh-CN"/>
        </w:rPr>
      </w:pPr>
      <w:bookmarkStart w:id="90" w:name="_Toc14930"/>
      <w:bookmarkStart w:id="91" w:name="_Toc30142"/>
      <w:bookmarkStart w:id="92" w:name="_Toc31636"/>
      <w:bookmarkStart w:id="93" w:name="_Toc8608"/>
      <w:bookmarkStart w:id="94" w:name="_Toc2420"/>
      <w:bookmarkStart w:id="95" w:name="_Toc29209"/>
      <w:bookmarkStart w:id="96" w:name="_Toc30146"/>
      <w:bookmarkStart w:id="97" w:name="_Toc12438"/>
      <w:bookmarkStart w:id="98" w:name="_Toc17615"/>
      <w:bookmarkStart w:id="99" w:name="_Toc4536"/>
      <w:r>
        <w:rPr>
          <w:rFonts w:hint="eastAsia" w:ascii="仿宋" w:hAnsi="仿宋" w:eastAsia="仿宋" w:cs="仿宋"/>
          <w:color w:val="auto"/>
        </w:rPr>
        <w:t>（1）资料收集与分析</w:t>
      </w:r>
      <w:bookmarkEnd w:id="90"/>
      <w:bookmarkEnd w:id="91"/>
      <w:bookmarkEnd w:id="92"/>
      <w:bookmarkEnd w:id="93"/>
      <w:bookmarkEnd w:id="94"/>
      <w:bookmarkEnd w:id="95"/>
      <w:bookmarkEnd w:id="96"/>
      <w:bookmarkEnd w:id="97"/>
      <w:bookmarkEnd w:id="98"/>
      <w:bookmarkEnd w:id="99"/>
    </w:p>
    <w:p w14:paraId="42CE1484">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lang w:val="en-US" w:eastAsia="zh-CN"/>
        </w:rPr>
        <w:t>本次调查</w:t>
      </w:r>
      <w:r>
        <w:rPr>
          <w:rFonts w:hint="eastAsia" w:ascii="仿宋" w:hAnsi="仿宋" w:eastAsia="仿宋" w:cs="仿宋"/>
          <w:color w:val="auto"/>
        </w:rPr>
        <w:t>通过</w:t>
      </w:r>
      <w:r>
        <w:rPr>
          <w:rFonts w:hint="eastAsia" w:ascii="仿宋" w:hAnsi="仿宋" w:eastAsia="仿宋" w:cs="仿宋"/>
          <w:color w:val="auto"/>
          <w:lang w:val="en-US" w:eastAsia="zh-CN"/>
        </w:rPr>
        <w:t>走访企业</w:t>
      </w:r>
      <w:r>
        <w:rPr>
          <w:rFonts w:hint="eastAsia" w:ascii="仿宋" w:hAnsi="仿宋" w:eastAsia="仿宋" w:cs="仿宋"/>
          <w:color w:val="auto"/>
        </w:rPr>
        <w:t>收集地块相关的资料，了解地块历史和生产工艺，判断地块潜在污染区域，指导现场采样。资料的收集主要包括：地块利用变迁资料、地块环境资料、地块相关记录、有关政府文件、以及地块所在区域的自然和社会信息。</w:t>
      </w:r>
    </w:p>
    <w:p w14:paraId="7880C74C">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地块利用变迁资料包括：用来辨识地块及其相邻地块的开发及活动状况的航片或卫星图片，地块的土地使用和规划资料，其它有助于评价地块污染的历史资料，如土地登记信息资料等。地块利用变迁过程中的地块内建筑、设施、工艺流程和生产污染等的变化情况。</w:t>
      </w:r>
    </w:p>
    <w:p w14:paraId="061D49ED">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地块环境资料包括：地块土壤及地下水污染记录、地块危险废物堆放记录以及地块与自然保护区和水源地保护区等的位置关系等。</w:t>
      </w:r>
    </w:p>
    <w:p w14:paraId="0C58F29A">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地块相关记录包括：产品、原辅材料及中间体清单、平面布置图、工艺流程图、地下管线图、化学品储存及使用清单、泄漏记录、废物管理记录、地上及地下储罐清单、环境监测数据、环境影响报告书或表、环境审计报告和地勘报告等。</w:t>
      </w:r>
    </w:p>
    <w:p w14:paraId="679DBC2F">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由政府机关和权威机构所保存和发布的环境资料，如区域环境保护规划、环境质量公告、企业在政府部门相关环境备案和批复以及生态和水源保护区规划等。</w:t>
      </w:r>
    </w:p>
    <w:p w14:paraId="29FF7076">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地块所在区域的自然和社会信息包括：自然信息包括地理位置图、地形、地貌、土壤、水文、地质和气象资料等；社会信息包括人口密度和分布，敏感目标分布，及土地利用方式，区域所在地的经济现状和发展规划，相关的国家和地方的政策、法规与标准，以及当地地方性疾病统计信息等。</w:t>
      </w:r>
    </w:p>
    <w:p w14:paraId="226108E3">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资料分析：调查人员根据专业知识和经验识别资料中的错误和不合理的信息，资料缺失影响判断地块污染状况</w:t>
      </w:r>
      <w:r>
        <w:rPr>
          <w:rFonts w:hint="eastAsia" w:ascii="仿宋" w:hAnsi="仿宋" w:eastAsia="仿宋" w:cs="仿宋"/>
          <w:color w:val="auto"/>
          <w:lang w:val="en-US" w:eastAsia="zh-CN"/>
        </w:rPr>
        <w:t>的情况</w:t>
      </w:r>
      <w:r>
        <w:rPr>
          <w:rFonts w:hint="eastAsia" w:ascii="仿宋" w:hAnsi="仿宋" w:eastAsia="仿宋" w:cs="仿宋"/>
          <w:color w:val="auto"/>
        </w:rPr>
        <w:t>，</w:t>
      </w:r>
      <w:r>
        <w:rPr>
          <w:rFonts w:hint="eastAsia" w:ascii="仿宋" w:hAnsi="仿宋" w:eastAsia="仿宋" w:cs="仿宋"/>
          <w:color w:val="auto"/>
          <w:lang w:val="en-US" w:eastAsia="zh-CN"/>
        </w:rPr>
        <w:t>均</w:t>
      </w:r>
      <w:r>
        <w:rPr>
          <w:rFonts w:hint="eastAsia" w:ascii="仿宋" w:hAnsi="仿宋" w:eastAsia="仿宋" w:cs="仿宋"/>
          <w:color w:val="auto"/>
        </w:rPr>
        <w:t>在报告中说明。</w:t>
      </w:r>
    </w:p>
    <w:p w14:paraId="0D8C6CCD">
      <w:pPr>
        <w:bidi w:val="0"/>
        <w:rPr>
          <w:rFonts w:hint="eastAsia" w:ascii="仿宋" w:hAnsi="仿宋" w:eastAsia="仿宋" w:cs="仿宋"/>
          <w:color w:val="auto"/>
        </w:rPr>
      </w:pPr>
      <w:bookmarkStart w:id="100" w:name="_Toc16367"/>
      <w:bookmarkStart w:id="101" w:name="_Toc6556"/>
      <w:bookmarkStart w:id="102" w:name="_Toc2378"/>
      <w:bookmarkStart w:id="103" w:name="_Toc19996"/>
      <w:bookmarkStart w:id="104" w:name="_Toc31517"/>
      <w:bookmarkStart w:id="105" w:name="_Toc19405"/>
      <w:bookmarkStart w:id="106" w:name="_Toc13680"/>
      <w:bookmarkStart w:id="107" w:name="_Toc19569"/>
      <w:bookmarkStart w:id="108" w:name="_Toc24237"/>
      <w:bookmarkStart w:id="109" w:name="_Toc8536"/>
      <w:r>
        <w:rPr>
          <w:rFonts w:hint="eastAsia" w:ascii="仿宋" w:hAnsi="仿宋" w:eastAsia="仿宋" w:cs="仿宋"/>
          <w:color w:val="auto"/>
        </w:rPr>
        <w:t>（2）现场踏勘</w:t>
      </w:r>
      <w:bookmarkEnd w:id="100"/>
      <w:bookmarkEnd w:id="101"/>
      <w:bookmarkEnd w:id="102"/>
      <w:bookmarkEnd w:id="103"/>
      <w:bookmarkEnd w:id="104"/>
      <w:bookmarkEnd w:id="105"/>
      <w:bookmarkEnd w:id="106"/>
      <w:bookmarkEnd w:id="107"/>
      <w:bookmarkEnd w:id="108"/>
      <w:bookmarkEnd w:id="109"/>
    </w:p>
    <w:p w14:paraId="4992283E">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lang w:val="en-US" w:eastAsia="zh-CN"/>
        </w:rPr>
        <w:t>本次调查</w:t>
      </w:r>
      <w:r>
        <w:rPr>
          <w:rFonts w:hint="eastAsia" w:ascii="仿宋" w:hAnsi="仿宋" w:eastAsia="仿宋" w:cs="仿宋"/>
          <w:color w:val="auto"/>
        </w:rPr>
        <w:t>现场踏勘</w:t>
      </w:r>
      <w:r>
        <w:rPr>
          <w:rFonts w:hint="eastAsia" w:ascii="仿宋" w:hAnsi="仿宋" w:eastAsia="仿宋" w:cs="仿宋"/>
          <w:color w:val="auto"/>
          <w:lang w:val="en-US" w:eastAsia="zh-CN"/>
        </w:rPr>
        <w:t>均</w:t>
      </w:r>
      <w:r>
        <w:rPr>
          <w:rFonts w:hint="eastAsia" w:ascii="仿宋" w:hAnsi="仿宋" w:eastAsia="仿宋" w:cs="仿宋"/>
          <w:color w:val="auto"/>
        </w:rPr>
        <w:t>做</w:t>
      </w:r>
      <w:r>
        <w:rPr>
          <w:rFonts w:hint="eastAsia" w:ascii="仿宋" w:hAnsi="仿宋" w:eastAsia="仿宋" w:cs="仿宋"/>
          <w:color w:val="auto"/>
          <w:lang w:val="en-US" w:eastAsia="zh-CN"/>
        </w:rPr>
        <w:t>了</w:t>
      </w:r>
      <w:r>
        <w:rPr>
          <w:rFonts w:hint="eastAsia" w:ascii="仿宋" w:hAnsi="仿宋" w:eastAsia="仿宋" w:cs="仿宋"/>
          <w:color w:val="auto"/>
        </w:rPr>
        <w:t>相应的安全防护，踏勘范围以地块内为主，了解地块的现状与历史情况，相邻地块的现状与历史情况，周围区域的现状与历史情况，区域的地质、水文地质和地形的描述等，分析潜在的污染区域范围。</w:t>
      </w:r>
    </w:p>
    <w:p w14:paraId="25418942">
      <w:pPr>
        <w:bidi w:val="0"/>
        <w:rPr>
          <w:rFonts w:hint="eastAsia" w:ascii="仿宋" w:hAnsi="仿宋" w:eastAsia="仿宋" w:cs="仿宋"/>
          <w:color w:val="auto"/>
        </w:rPr>
      </w:pPr>
      <w:bookmarkStart w:id="110" w:name="_Toc26083"/>
      <w:bookmarkStart w:id="111" w:name="_Toc25985"/>
      <w:bookmarkStart w:id="112" w:name="_Toc250"/>
      <w:bookmarkStart w:id="113" w:name="_Toc12726"/>
      <w:bookmarkStart w:id="114" w:name="_Toc8428"/>
      <w:bookmarkStart w:id="115" w:name="_Toc18865"/>
      <w:bookmarkStart w:id="116" w:name="_Toc27259"/>
      <w:bookmarkStart w:id="117" w:name="_Toc8192"/>
      <w:bookmarkStart w:id="118" w:name="_Toc12249"/>
      <w:bookmarkStart w:id="119" w:name="_Toc11773"/>
      <w:r>
        <w:rPr>
          <w:rFonts w:hint="eastAsia" w:ascii="仿宋" w:hAnsi="仿宋" w:eastAsia="仿宋" w:cs="仿宋"/>
          <w:color w:val="auto"/>
        </w:rPr>
        <w:t>（3）人员访谈</w:t>
      </w:r>
      <w:bookmarkEnd w:id="110"/>
      <w:bookmarkEnd w:id="111"/>
      <w:bookmarkEnd w:id="112"/>
      <w:bookmarkEnd w:id="113"/>
      <w:bookmarkEnd w:id="114"/>
      <w:bookmarkEnd w:id="115"/>
      <w:bookmarkEnd w:id="116"/>
      <w:bookmarkEnd w:id="117"/>
      <w:bookmarkEnd w:id="118"/>
      <w:bookmarkEnd w:id="119"/>
    </w:p>
    <w:p w14:paraId="7087F130">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lang w:val="en-US" w:eastAsia="zh-CN"/>
        </w:rPr>
        <w:t>本次调查</w:t>
      </w:r>
      <w:r>
        <w:rPr>
          <w:rFonts w:hint="eastAsia" w:ascii="仿宋" w:hAnsi="仿宋" w:eastAsia="仿宋" w:cs="仿宋"/>
          <w:color w:val="auto"/>
        </w:rPr>
        <w:t>通过对</w:t>
      </w:r>
      <w:r>
        <w:rPr>
          <w:rFonts w:hint="eastAsia" w:ascii="仿宋" w:hAnsi="仿宋" w:eastAsia="仿宋" w:cs="仿宋"/>
          <w:color w:val="auto"/>
          <w:lang w:val="en-US" w:eastAsia="zh-CN"/>
        </w:rPr>
        <w:t>熟悉</w:t>
      </w:r>
      <w:r>
        <w:rPr>
          <w:rFonts w:hint="eastAsia" w:ascii="仿宋" w:hAnsi="仿宋" w:eastAsia="仿宋" w:cs="仿宋"/>
          <w:color w:val="auto"/>
        </w:rPr>
        <w:t>地块现状和历史的知情人进行访谈，对资料收集和现场踏勘所涉及的疑问，</w:t>
      </w:r>
      <w:r>
        <w:rPr>
          <w:rFonts w:hint="eastAsia" w:ascii="仿宋" w:hAnsi="仿宋" w:eastAsia="仿宋" w:cs="仿宋"/>
          <w:color w:val="auto"/>
          <w:lang w:val="en-US" w:eastAsia="zh-CN"/>
        </w:rPr>
        <w:t>进行</w:t>
      </w:r>
      <w:r>
        <w:rPr>
          <w:rFonts w:hint="eastAsia" w:ascii="仿宋" w:hAnsi="仿宋" w:eastAsia="仿宋" w:cs="仿宋"/>
          <w:color w:val="auto"/>
        </w:rPr>
        <w:t>信息补充和考证已有资料。</w:t>
      </w:r>
    </w:p>
    <w:p w14:paraId="2744C066">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本阶段调查结论</w:t>
      </w:r>
      <w:r>
        <w:rPr>
          <w:rFonts w:hint="eastAsia" w:ascii="仿宋" w:hAnsi="仿宋" w:eastAsia="仿宋" w:cs="仿宋"/>
          <w:color w:val="auto"/>
          <w:lang w:val="en-US" w:eastAsia="zh-CN"/>
        </w:rPr>
        <w:t>中</w:t>
      </w:r>
      <w:r>
        <w:rPr>
          <w:rFonts w:hint="eastAsia" w:ascii="仿宋" w:hAnsi="仿宋" w:eastAsia="仿宋" w:cs="仿宋"/>
          <w:color w:val="auto"/>
        </w:rPr>
        <w:t>明确</w:t>
      </w:r>
      <w:r>
        <w:rPr>
          <w:rFonts w:hint="eastAsia" w:ascii="仿宋" w:hAnsi="仿宋" w:eastAsia="仿宋" w:cs="仿宋"/>
          <w:color w:val="auto"/>
          <w:lang w:val="en-US" w:eastAsia="zh-CN"/>
        </w:rPr>
        <w:t>了</w:t>
      </w:r>
      <w:r>
        <w:rPr>
          <w:rFonts w:hint="eastAsia" w:ascii="仿宋" w:hAnsi="仿宋" w:eastAsia="仿宋" w:cs="仿宋"/>
          <w:color w:val="auto"/>
        </w:rPr>
        <w:t>地块内及周围区域有无可能的污染源，并进行不确定性分析。若有可能的污染源，说明可能的污染类型、污染状况和来源，并提出第二阶段土壤污染状况调查的建议。</w:t>
      </w:r>
    </w:p>
    <w:p w14:paraId="77FFE8D3">
      <w:pPr>
        <w:bidi w:val="0"/>
        <w:rPr>
          <w:rFonts w:hint="eastAsia" w:ascii="仿宋" w:hAnsi="仿宋" w:eastAsia="仿宋" w:cs="仿宋"/>
          <w:color w:val="auto"/>
        </w:rPr>
      </w:pPr>
      <w:bookmarkStart w:id="120" w:name="_Toc558"/>
      <w:bookmarkStart w:id="121" w:name="_Toc705"/>
      <w:bookmarkStart w:id="122" w:name="_Toc4395"/>
      <w:bookmarkStart w:id="123" w:name="_Toc6597"/>
      <w:bookmarkStart w:id="124" w:name="_Toc11481"/>
      <w:bookmarkStart w:id="125" w:name="_Toc17516"/>
      <w:bookmarkStart w:id="126" w:name="_Toc26479"/>
      <w:bookmarkStart w:id="127" w:name="_Toc22990"/>
      <w:bookmarkStart w:id="128" w:name="_Toc30506"/>
      <w:bookmarkStart w:id="129" w:name="_Toc7091"/>
      <w:r>
        <w:rPr>
          <w:rFonts w:hint="eastAsia" w:ascii="仿宋" w:hAnsi="仿宋" w:eastAsia="仿宋" w:cs="仿宋"/>
          <w:color w:val="auto"/>
        </w:rPr>
        <w:t>（4）制定采样分析方案</w:t>
      </w:r>
      <w:bookmarkEnd w:id="120"/>
      <w:bookmarkEnd w:id="121"/>
      <w:bookmarkEnd w:id="122"/>
      <w:bookmarkEnd w:id="123"/>
      <w:bookmarkEnd w:id="124"/>
      <w:bookmarkEnd w:id="125"/>
      <w:bookmarkEnd w:id="126"/>
      <w:bookmarkEnd w:id="127"/>
      <w:bookmarkEnd w:id="128"/>
      <w:bookmarkEnd w:id="129"/>
    </w:p>
    <w:p w14:paraId="60CD2F86">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根据污染来源的可能性和地块历史变迁资料以及现场踏勘情况，导则要求，制定针对地块的具体工作方案。包括核查已有信息、制定初步监测采样方案、制定健康和安全防护措施、制定样品分析方案、制定质量保证和质量控制等工作内容。</w:t>
      </w:r>
    </w:p>
    <w:p w14:paraId="3A174C12">
      <w:pPr>
        <w:bidi w:val="0"/>
        <w:rPr>
          <w:rFonts w:hint="eastAsia" w:ascii="仿宋" w:hAnsi="仿宋" w:eastAsia="仿宋" w:cs="仿宋"/>
          <w:color w:val="auto"/>
        </w:rPr>
      </w:pPr>
      <w:bookmarkStart w:id="130" w:name="_Toc22952"/>
      <w:bookmarkStart w:id="131" w:name="_Toc16805"/>
      <w:bookmarkStart w:id="132" w:name="_Toc31558"/>
      <w:bookmarkStart w:id="133" w:name="_Toc9466"/>
      <w:bookmarkStart w:id="134" w:name="_Toc12286"/>
      <w:bookmarkStart w:id="135" w:name="_Toc16066"/>
      <w:bookmarkStart w:id="136" w:name="_Toc31579"/>
      <w:bookmarkStart w:id="137" w:name="_Toc21486"/>
      <w:bookmarkStart w:id="138" w:name="_Toc14794"/>
      <w:bookmarkStart w:id="139" w:name="_Toc18957"/>
      <w:r>
        <w:rPr>
          <w:rFonts w:hint="eastAsia" w:ascii="仿宋" w:hAnsi="仿宋" w:eastAsia="仿宋" w:cs="仿宋"/>
          <w:color w:val="auto"/>
        </w:rPr>
        <w:t>（5）现场采样和实验室分析</w:t>
      </w:r>
      <w:bookmarkEnd w:id="130"/>
      <w:bookmarkEnd w:id="131"/>
      <w:bookmarkEnd w:id="132"/>
      <w:bookmarkEnd w:id="133"/>
      <w:bookmarkEnd w:id="134"/>
      <w:bookmarkEnd w:id="135"/>
      <w:bookmarkEnd w:id="136"/>
      <w:bookmarkEnd w:id="137"/>
      <w:bookmarkEnd w:id="138"/>
      <w:bookmarkEnd w:id="139"/>
    </w:p>
    <w:p w14:paraId="7248BE49">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仿宋" w:hAnsi="仿宋" w:eastAsia="仿宋" w:cs="仿宋"/>
          <w:color w:val="auto"/>
        </w:rPr>
        <w:t>依据采样方案进行现场钻探取样工作，样品由委托的实验室负责采样和分析，依据实验室数据和现场实际生产情况，分析现场污染状况，得出地块是否存在污染的结论，并提出可行性建议。</w:t>
      </w:r>
    </w:p>
    <w:p w14:paraId="06DAA639">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outlineLvl w:val="0"/>
        <w:rPr>
          <w:rFonts w:hint="eastAsia" w:ascii="仿宋" w:hAnsi="仿宋" w:eastAsia="仿宋" w:cs="仿宋"/>
          <w:b/>
          <w:bCs w:val="0"/>
          <w:color w:val="auto"/>
          <w:kern w:val="0"/>
          <w:sz w:val="36"/>
          <w:szCs w:val="36"/>
          <w:lang w:val="en-US" w:eastAsia="zh-CN" w:bidi="zh-CN"/>
        </w:rPr>
      </w:pPr>
      <w:bookmarkStart w:id="140" w:name="_Toc12195"/>
      <w:bookmarkStart w:id="141" w:name="_Toc12098"/>
      <w:bookmarkStart w:id="142" w:name="_Toc4791"/>
      <w:bookmarkStart w:id="143" w:name="_Toc4192"/>
      <w:bookmarkStart w:id="144" w:name="_Toc22142"/>
      <w:r>
        <w:rPr>
          <w:rFonts w:hint="eastAsia" w:ascii="仿宋" w:hAnsi="仿宋" w:eastAsia="仿宋" w:cs="仿宋"/>
          <w:b/>
          <w:bCs w:val="0"/>
          <w:color w:val="auto"/>
          <w:kern w:val="0"/>
          <w:sz w:val="36"/>
          <w:szCs w:val="36"/>
          <w:lang w:val="en-US" w:eastAsia="zh-CN" w:bidi="zh-CN"/>
        </w:rPr>
        <w:t>9  结论和建议</w:t>
      </w:r>
      <w:bookmarkEnd w:id="140"/>
      <w:bookmarkEnd w:id="141"/>
      <w:bookmarkEnd w:id="142"/>
      <w:bookmarkEnd w:id="143"/>
      <w:bookmarkEnd w:id="144"/>
    </w:p>
    <w:p w14:paraId="46F7AACE">
      <w:pPr>
        <w:pStyle w:val="4"/>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1"/>
        <w:rPr>
          <w:rFonts w:hint="eastAsia" w:ascii="仿宋" w:hAnsi="仿宋" w:eastAsia="仿宋" w:cs="仿宋"/>
          <w:b/>
          <w:bCs w:val="0"/>
          <w:color w:val="auto"/>
          <w:sz w:val="28"/>
          <w:szCs w:val="28"/>
          <w:lang w:val="en-US" w:eastAsia="zh-CN"/>
        </w:rPr>
      </w:pPr>
      <w:bookmarkStart w:id="145" w:name="_Toc9364"/>
      <w:bookmarkStart w:id="146" w:name="_Toc27408"/>
      <w:bookmarkStart w:id="147" w:name="_Toc32211"/>
      <w:bookmarkStart w:id="148" w:name="_Toc30069"/>
      <w:r>
        <w:rPr>
          <w:rFonts w:hint="eastAsia" w:ascii="仿宋" w:hAnsi="仿宋" w:eastAsia="仿宋" w:cs="仿宋"/>
          <w:b/>
          <w:bCs w:val="0"/>
          <w:color w:val="auto"/>
          <w:sz w:val="28"/>
          <w:szCs w:val="28"/>
          <w:lang w:val="en-US" w:eastAsia="zh-CN"/>
        </w:rPr>
        <w:t>9.1 结论</w:t>
      </w:r>
      <w:bookmarkEnd w:id="145"/>
      <w:bookmarkEnd w:id="146"/>
      <w:bookmarkEnd w:id="147"/>
      <w:bookmarkEnd w:id="148"/>
    </w:p>
    <w:p w14:paraId="7D4615FA">
      <w:pPr>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仿宋" w:cs="仿宋"/>
          <w:color w:val="auto"/>
          <w:kern w:val="2"/>
          <w:sz w:val="24"/>
          <w:szCs w:val="21"/>
          <w:lang w:val="en-US" w:eastAsia="zh-CN" w:bidi="ar-SA"/>
        </w:rPr>
      </w:pPr>
      <w:r>
        <w:rPr>
          <w:rFonts w:hint="eastAsia" w:ascii="仿宋" w:hAnsi="仿宋" w:eastAsia="仿宋" w:cs="仿宋"/>
          <w:color w:val="auto"/>
          <w:kern w:val="2"/>
          <w:sz w:val="24"/>
          <w:szCs w:val="21"/>
          <w:lang w:val="en-US" w:eastAsia="zh-CN" w:bidi="ar-SA"/>
        </w:rPr>
        <w:t>（1）</w:t>
      </w:r>
      <w:r>
        <w:rPr>
          <w:rFonts w:hint="eastAsia" w:ascii="仿宋" w:hAnsi="仿宋" w:eastAsia="仿宋" w:cs="仿宋"/>
          <w:color w:val="auto"/>
          <w:sz w:val="24"/>
          <w:szCs w:val="24"/>
          <w:lang w:val="en-US" w:eastAsia="zh-CN"/>
        </w:rPr>
        <w:t>本次土壤污染状况调查共布设38个土壤采样点位（包含一个土壤对照采样点），共送检土壤样品174个（包括4个对照土样品，15个平行样）。</w:t>
      </w:r>
      <w:r>
        <w:rPr>
          <w:rFonts w:hint="eastAsia" w:ascii="仿宋" w:hAnsi="仿宋" w:eastAsia="仿宋" w:cs="仿宋"/>
          <w:color w:val="auto"/>
          <w:lang w:val="en-US" w:eastAsia="zh-CN"/>
        </w:rPr>
        <w:t>共布设18个地下水监测井，采集20个地下水样品（包含2个平行样）。</w:t>
      </w:r>
      <w:r>
        <w:rPr>
          <w:rFonts w:hint="eastAsia" w:ascii="仿宋" w:hAnsi="仿宋" w:eastAsia="仿宋" w:cs="仿宋"/>
          <w:color w:val="auto"/>
          <w:sz w:val="24"/>
          <w:szCs w:val="24"/>
        </w:rPr>
        <w:t>pH值、</w:t>
      </w:r>
      <w:r>
        <w:rPr>
          <w:rFonts w:hint="eastAsia" w:ascii="仿宋" w:hAnsi="仿宋" w:eastAsia="仿宋" w:cs="仿宋"/>
          <w:color w:val="auto"/>
          <w:sz w:val="24"/>
          <w:szCs w:val="24"/>
          <w:lang w:val="en-US" w:eastAsia="zh-CN"/>
        </w:rPr>
        <w:t>CB36600中表1基本项目45项、</w:t>
      </w:r>
      <w:r>
        <w:rPr>
          <w:rFonts w:hint="eastAsia" w:ascii="仿宋" w:hAnsi="仿宋" w:eastAsia="仿宋" w:cs="仿宋"/>
          <w:color w:val="auto"/>
          <w:sz w:val="24"/>
          <w:szCs w:val="24"/>
          <w:vertAlign w:val="baseline"/>
          <w:lang w:val="en-US" w:eastAsia="zh-CN"/>
        </w:rPr>
        <w:t>氨氮、硫化物、氟化物、氯化物、氰化物、硫酸盐、硝酸盐、亚硝酸盐、石油烃（C</w:t>
      </w:r>
      <w:r>
        <w:rPr>
          <w:rFonts w:hint="eastAsia" w:ascii="仿宋" w:hAnsi="仿宋" w:eastAsia="仿宋" w:cs="仿宋"/>
          <w:color w:val="auto"/>
          <w:sz w:val="24"/>
          <w:szCs w:val="24"/>
          <w:vertAlign w:val="subscript"/>
          <w:lang w:val="en-US" w:eastAsia="zh-CN"/>
        </w:rPr>
        <w:t>10</w:t>
      </w:r>
      <w:r>
        <w:rPr>
          <w:rFonts w:hint="eastAsia" w:ascii="仿宋" w:hAnsi="仿宋" w:eastAsia="仿宋" w:cs="仿宋"/>
          <w:color w:val="auto"/>
          <w:sz w:val="24"/>
          <w:szCs w:val="24"/>
          <w:vertAlign w:val="baseline"/>
          <w:lang w:val="en-US" w:eastAsia="zh-CN"/>
        </w:rPr>
        <w:t>-C</w:t>
      </w:r>
      <w:r>
        <w:rPr>
          <w:rFonts w:hint="eastAsia" w:ascii="仿宋" w:hAnsi="仿宋" w:eastAsia="仿宋" w:cs="仿宋"/>
          <w:color w:val="auto"/>
          <w:sz w:val="24"/>
          <w:szCs w:val="24"/>
          <w:vertAlign w:val="subscript"/>
          <w:lang w:val="en-US" w:eastAsia="zh-CN"/>
        </w:rPr>
        <w:t>40</w:t>
      </w:r>
      <w:r>
        <w:rPr>
          <w:rFonts w:hint="eastAsia" w:ascii="仿宋" w:hAnsi="仿宋" w:eastAsia="仿宋" w:cs="仿宋"/>
          <w:color w:val="auto"/>
          <w:sz w:val="24"/>
          <w:szCs w:val="24"/>
          <w:vertAlign w:val="baseline"/>
          <w:lang w:val="en-US" w:eastAsia="zh-CN"/>
        </w:rPr>
        <w:t>）、石油烃（C</w:t>
      </w:r>
      <w:r>
        <w:rPr>
          <w:rFonts w:hint="eastAsia" w:ascii="仿宋" w:hAnsi="仿宋" w:eastAsia="仿宋" w:cs="仿宋"/>
          <w:color w:val="auto"/>
          <w:sz w:val="24"/>
          <w:szCs w:val="24"/>
          <w:vertAlign w:val="subscript"/>
          <w:lang w:val="en-US" w:eastAsia="zh-CN"/>
        </w:rPr>
        <w:t>6</w:t>
      </w:r>
      <w:r>
        <w:rPr>
          <w:rFonts w:hint="eastAsia" w:ascii="仿宋" w:hAnsi="仿宋" w:eastAsia="仿宋" w:cs="仿宋"/>
          <w:color w:val="auto"/>
          <w:sz w:val="24"/>
          <w:szCs w:val="24"/>
          <w:vertAlign w:val="baseline"/>
          <w:lang w:val="en-US" w:eastAsia="zh-CN"/>
        </w:rPr>
        <w:t>-C</w:t>
      </w:r>
      <w:r>
        <w:rPr>
          <w:rFonts w:hint="eastAsia" w:ascii="仿宋" w:hAnsi="仿宋" w:eastAsia="仿宋" w:cs="仿宋"/>
          <w:color w:val="auto"/>
          <w:sz w:val="24"/>
          <w:szCs w:val="24"/>
          <w:vertAlign w:val="subscript"/>
          <w:lang w:val="en-US" w:eastAsia="zh-CN"/>
        </w:rPr>
        <w:t>9</w:t>
      </w:r>
      <w:r>
        <w:rPr>
          <w:rFonts w:hint="eastAsia" w:ascii="仿宋" w:hAnsi="仿宋" w:eastAsia="仿宋" w:cs="仿宋"/>
          <w:color w:val="auto"/>
          <w:sz w:val="24"/>
          <w:szCs w:val="24"/>
          <w:vertAlign w:val="baseline"/>
          <w:lang w:val="en-US" w:eastAsia="zh-CN"/>
        </w:rPr>
        <w:t>）、锑、锡、锌、硒、硼、丙酮、苯酚、甲醛、</w:t>
      </w:r>
      <w:r>
        <w:rPr>
          <w:rFonts w:hint="eastAsia" w:ascii="仿宋" w:hAnsi="仿宋" w:eastAsia="仿宋" w:cs="仿宋"/>
          <w:color w:val="auto"/>
          <w:sz w:val="24"/>
          <w:szCs w:val="24"/>
          <w:lang w:val="en-US" w:eastAsia="zh-CN"/>
        </w:rPr>
        <w:t>甲醇</w:t>
      </w:r>
      <w:r>
        <w:rPr>
          <w:rFonts w:hint="eastAsia" w:ascii="仿宋" w:hAnsi="仿宋" w:eastAsia="仿宋" w:cs="仿宋"/>
          <w:color w:val="auto"/>
          <w:sz w:val="24"/>
          <w:szCs w:val="24"/>
          <w:vertAlign w:val="baseline"/>
          <w:lang w:val="en-US" w:eastAsia="zh-CN"/>
        </w:rPr>
        <w:t>、丙烯酸乙酯、甲基叔丁基醚、</w:t>
      </w:r>
      <w:r>
        <w:rPr>
          <w:rFonts w:hint="eastAsia" w:ascii="仿宋" w:hAnsi="仿宋" w:eastAsia="仿宋" w:cs="仿宋"/>
          <w:b w:val="0"/>
          <w:bCs w:val="0"/>
          <w:color w:val="auto"/>
          <w:kern w:val="2"/>
          <w:sz w:val="24"/>
          <w:szCs w:val="24"/>
          <w:lang w:val="en-US" w:eastAsia="zh-CN" w:bidi="ar-SA"/>
        </w:rPr>
        <w:t>二甲基甲酰胺、三氯苯（1，2,3三氯苯、1,2,4三氯苯）</w:t>
      </w:r>
      <w:r>
        <w:rPr>
          <w:rFonts w:hint="eastAsia" w:ascii="仿宋" w:hAnsi="仿宋" w:eastAsia="仿宋" w:cs="仿宋"/>
          <w:color w:val="auto"/>
          <w:sz w:val="24"/>
          <w:szCs w:val="24"/>
          <w:vertAlign w:val="baseline"/>
          <w:lang w:val="en-US" w:eastAsia="zh-CN"/>
        </w:rPr>
        <w:t>、三溴甲烷、</w:t>
      </w:r>
      <w:r>
        <w:rPr>
          <w:rFonts w:hint="eastAsia" w:ascii="仿宋" w:hAnsi="仿宋" w:eastAsia="仿宋" w:cs="仿宋"/>
          <w:b w:val="0"/>
          <w:bCs w:val="0"/>
          <w:color w:val="auto"/>
          <w:kern w:val="2"/>
          <w:sz w:val="24"/>
          <w:szCs w:val="24"/>
          <w:lang w:val="en-US" w:eastAsia="zh-CN" w:bidi="ar-SA"/>
        </w:rPr>
        <w:t>邻苯二酚、间-甲酚、三乙胺、</w:t>
      </w:r>
      <w:r>
        <w:rPr>
          <w:rFonts w:hint="eastAsia" w:ascii="仿宋" w:hAnsi="仿宋" w:eastAsia="仿宋" w:cs="仿宋"/>
          <w:color w:val="auto"/>
          <w:sz w:val="24"/>
          <w:szCs w:val="24"/>
          <w:vertAlign w:val="baseline"/>
          <w:lang w:val="en-US" w:eastAsia="zh-CN"/>
        </w:rPr>
        <w:t>苯胺类及联苯胺类（2-萘胺、联苯胺、2-甲氧基苯胺、2,6-二甲基苯胺、4-甲基苯胺、2-甲基苯胺、2,4-二甲基苯胺、3-氯苯胺、3,3-二氯联苯胺、4-氯苯胺、4-硝基苯胺、3-硝基苯胺、3-甲基苯胺、N-亚硝基二苯胺）。</w:t>
      </w:r>
      <w:r>
        <w:rPr>
          <w:rFonts w:hint="eastAsia" w:ascii="仿宋" w:hAnsi="仿宋" w:eastAsia="仿宋" w:cs="仿宋"/>
          <w:color w:val="auto"/>
          <w:kern w:val="2"/>
          <w:sz w:val="24"/>
          <w:szCs w:val="20"/>
          <w:lang w:val="en-US" w:eastAsia="zh-CN" w:bidi="ar-SA"/>
        </w:rPr>
        <w:t>地下水</w:t>
      </w:r>
      <w:r>
        <w:rPr>
          <w:rFonts w:hint="eastAsia" w:ascii="仿宋" w:hAnsi="仿宋" w:eastAsia="仿宋" w:cs="仿宋"/>
          <w:color w:val="auto"/>
          <w:lang w:val="en-US" w:eastAsia="zh-CN"/>
        </w:rPr>
        <w:t>监测项目为：</w:t>
      </w:r>
      <w:r>
        <w:rPr>
          <w:rFonts w:hint="eastAsia" w:ascii="仿宋" w:hAnsi="仿宋" w:eastAsia="仿宋" w:cs="仿宋"/>
          <w:color w:val="auto"/>
          <w:szCs w:val="21"/>
          <w:lang w:val="en-US" w:eastAsia="zh-CN"/>
        </w:rPr>
        <w:t>pH、GB36660中表1基本项目45项、色度、氨氮、硫化物、氯化物、硫酸盐、耗氧量、硝酸盐、亚硝酸盐、氟化物、挥发酚、阴离子表面活性剂、嗅和味、浑浊度、肉眼可见物、总硬度、溶解性总固体、铁、锰、铝、钠、氰化物、碘化物、石油烃（C</w:t>
      </w:r>
      <w:r>
        <w:rPr>
          <w:rFonts w:hint="eastAsia" w:ascii="仿宋" w:hAnsi="仿宋" w:eastAsia="仿宋" w:cs="仿宋"/>
          <w:color w:val="auto"/>
          <w:szCs w:val="21"/>
          <w:vertAlign w:val="subscript"/>
          <w:lang w:val="en-US" w:eastAsia="zh-CN"/>
        </w:rPr>
        <w:t>10</w:t>
      </w:r>
      <w:r>
        <w:rPr>
          <w:rFonts w:hint="eastAsia" w:ascii="仿宋" w:hAnsi="仿宋" w:eastAsia="仿宋" w:cs="仿宋"/>
          <w:color w:val="auto"/>
          <w:szCs w:val="21"/>
          <w:lang w:val="en-US" w:eastAsia="zh-CN"/>
        </w:rPr>
        <w:t>-C</w:t>
      </w:r>
      <w:r>
        <w:rPr>
          <w:rFonts w:hint="eastAsia" w:ascii="仿宋" w:hAnsi="仿宋" w:eastAsia="仿宋" w:cs="仿宋"/>
          <w:color w:val="auto"/>
          <w:szCs w:val="21"/>
          <w:vertAlign w:val="subscript"/>
          <w:lang w:val="en-US" w:eastAsia="zh-CN"/>
        </w:rPr>
        <w:t>40</w:t>
      </w:r>
      <w:r>
        <w:rPr>
          <w:rFonts w:hint="eastAsia" w:ascii="仿宋" w:hAnsi="仿宋" w:eastAsia="仿宋" w:cs="仿宋"/>
          <w:color w:val="auto"/>
          <w:szCs w:val="21"/>
          <w:lang w:val="en-US" w:eastAsia="zh-CN"/>
        </w:rPr>
        <w:t>）、石油烃（C</w:t>
      </w:r>
      <w:r>
        <w:rPr>
          <w:rFonts w:hint="eastAsia" w:ascii="仿宋" w:hAnsi="仿宋" w:eastAsia="仿宋" w:cs="仿宋"/>
          <w:color w:val="auto"/>
          <w:szCs w:val="21"/>
          <w:vertAlign w:val="subscript"/>
          <w:lang w:val="en-US" w:eastAsia="zh-CN"/>
        </w:rPr>
        <w:t>6</w:t>
      </w:r>
      <w:r>
        <w:rPr>
          <w:rFonts w:hint="eastAsia" w:ascii="仿宋" w:hAnsi="仿宋" w:eastAsia="仿宋" w:cs="仿宋"/>
          <w:color w:val="auto"/>
          <w:szCs w:val="21"/>
          <w:lang w:val="en-US" w:eastAsia="zh-CN"/>
        </w:rPr>
        <w:t>-C</w:t>
      </w:r>
      <w:r>
        <w:rPr>
          <w:rFonts w:hint="eastAsia" w:ascii="仿宋" w:hAnsi="仿宋" w:eastAsia="仿宋" w:cs="仿宋"/>
          <w:color w:val="auto"/>
          <w:szCs w:val="21"/>
          <w:vertAlign w:val="subscript"/>
          <w:lang w:val="en-US" w:eastAsia="zh-CN"/>
        </w:rPr>
        <w:t>9</w:t>
      </w:r>
      <w:r>
        <w:rPr>
          <w:rFonts w:hint="eastAsia" w:ascii="仿宋" w:hAnsi="仿宋" w:eastAsia="仿宋" w:cs="仿宋"/>
          <w:color w:val="auto"/>
          <w:szCs w:val="21"/>
          <w:lang w:val="en-US" w:eastAsia="zh-CN"/>
        </w:rPr>
        <w:t>）、锑、锡、锌、硒、硼、丙酮、苯酚、甲醛、甲醇、丙烯酸乙酯、甲基叔丁基醚、二甲基甲酰胺、1，2,3三氯苯、1,2,4三氯苯、三溴甲烷、邻苯二酚、间-甲酚、三乙胺、可吸附有机卤素、苯胺类及联苯胺类（2-萘胺、联苯胺、2-甲氧基苯胺、2,6-二甲基苯胺、4-甲基苯胺、2-甲基苯胺、2,4-二甲基苯胺、3-氯苯胺、3,3-二氯联苯胺、4-氯苯胺、4-硝基苯胺、3-硝基苯胺）。</w:t>
      </w:r>
    </w:p>
    <w:p w14:paraId="1A505715">
      <w:pPr>
        <w:pStyle w:val="4"/>
        <w:keepNext w:val="0"/>
        <w:keepLines w:val="0"/>
        <w:pageBreakBefore w:val="0"/>
        <w:widowControl w:val="0"/>
        <w:kinsoku/>
        <w:wordWrap/>
        <w:overflowPunct/>
        <w:topLinePunct w:val="0"/>
        <w:autoSpaceDE/>
        <w:autoSpaceDN/>
        <w:bidi w:val="0"/>
        <w:adjustRightInd/>
        <w:snapToGrid/>
        <w:spacing w:after="0" w:afterLines="0"/>
        <w:ind w:firstLine="480" w:firstLineChars="200"/>
        <w:textAlignment w:val="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（2）土壤样品分析：</w:t>
      </w:r>
      <w:r>
        <w:rPr>
          <w:rFonts w:hint="eastAsia" w:ascii="仿宋" w:hAnsi="仿宋" w:eastAsia="仿宋" w:cs="仿宋"/>
          <w:color w:val="auto"/>
          <w:sz w:val="24"/>
          <w:szCs w:val="24"/>
        </w:rPr>
        <w:t>土壤各指标均未超过《土壤环境质量建设用地土壤污染风险管控标准（试行）》（GB36600-2018）、《深圳市 建设用地土壤污染风险筛选值和管制值（DB4403_T67-2020）》、《河北省 建设用地土壤污染风险筛选值(</w:t>
      </w:r>
      <w:r>
        <w:rPr>
          <w:rFonts w:hint="eastAsia" w:ascii="仿宋" w:hAnsi="仿宋" w:eastAsia="仿宋" w:cs="仿宋"/>
          <w:color w:val="auto"/>
          <w:sz w:val="24"/>
          <w:szCs w:val="24"/>
          <w:lang w:eastAsia="zh-CN"/>
        </w:rPr>
        <w:t>DB13/T5216</w:t>
      </w:r>
      <w:r>
        <w:rPr>
          <w:rFonts w:hint="eastAsia" w:ascii="仿宋" w:hAnsi="仿宋" w:eastAsia="仿宋" w:cs="仿宋"/>
          <w:color w:val="auto"/>
          <w:sz w:val="24"/>
          <w:szCs w:val="24"/>
        </w:rPr>
        <w:t>-2020）》、《江苏省 建设用地土壤污染风险筛选值（DB32/T 4712-2024）》、《黑龙江省土壤污染防治风险筛选指导值（试行）》（DB23/T3314-2022）中第一类用地筛选值标准及《污染场地风险评估电子表格》计算出的风险控制值结果。个别位于未来规划为公园绿地的土壤采样点位地表以下1.5m范围内的土壤,同时符合江苏省《建设用地土壤污染风险筛选值（DB32/T 4712-2024）》表2筛选值标准。</w:t>
      </w:r>
    </w:p>
    <w:p w14:paraId="703FCD5C">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color w:val="auto"/>
          <w:kern w:val="2"/>
          <w:sz w:val="24"/>
          <w:szCs w:val="20"/>
          <w:lang w:val="en-US" w:eastAsia="zh-CN" w:bidi="ar-SA"/>
        </w:rPr>
      </w:pPr>
      <w:r>
        <w:rPr>
          <w:rFonts w:hint="eastAsia" w:ascii="仿宋" w:hAnsi="仿宋" w:eastAsia="仿宋" w:cs="仿宋"/>
          <w:color w:val="auto"/>
          <w:szCs w:val="21"/>
          <w:lang w:val="en-US" w:eastAsia="zh-CN"/>
        </w:rPr>
        <w:t>（3）地下水样品分析：</w:t>
      </w:r>
      <w:r>
        <w:rPr>
          <w:rFonts w:hint="eastAsia" w:ascii="仿宋" w:hAnsi="仿宋" w:eastAsia="仿宋" w:cs="仿宋"/>
          <w:b w:val="0"/>
          <w:bCs w:val="0"/>
          <w:color w:val="auto"/>
          <w:kern w:val="2"/>
          <w:sz w:val="24"/>
          <w:szCs w:val="24"/>
          <w:highlight w:val="none"/>
          <w:lang w:val="en-US" w:eastAsia="zh-CN" w:bidi="ar-SA"/>
        </w:rPr>
        <w:t>除氨氮、挥发酚指标，其余检出指标均符合《地下水质量标准》（GB/T 14848-2017）中IV类水标准及《上海市建设用地土壤污染状况调查、风险评估、风险管控与修复方案编制、风险管控与修复效果评估工作的补充规定（试行）》（沪环土[2020]62号）第一类用地筛选值标准</w:t>
      </w:r>
      <w:r>
        <w:rPr>
          <w:rFonts w:hint="eastAsia" w:ascii="仿宋" w:hAnsi="仿宋" w:eastAsia="仿宋" w:cs="仿宋"/>
          <w:color w:val="auto"/>
          <w:kern w:val="2"/>
          <w:sz w:val="24"/>
          <w:szCs w:val="20"/>
          <w:lang w:val="en-US" w:eastAsia="zh-CN" w:bidi="ar-SA"/>
        </w:rPr>
        <w:t>。</w:t>
      </w:r>
    </w:p>
    <w:p w14:paraId="250C2A81">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color w:val="auto"/>
          <w:kern w:val="2"/>
          <w:sz w:val="24"/>
          <w:szCs w:val="20"/>
          <w:lang w:val="en-US" w:eastAsia="zh-CN" w:bidi="ar-SA"/>
        </w:rPr>
      </w:pPr>
      <w:r>
        <w:rPr>
          <w:rFonts w:hint="eastAsia" w:ascii="仿宋" w:hAnsi="仿宋" w:eastAsia="仿宋" w:cs="仿宋"/>
          <w:color w:val="auto"/>
          <w:kern w:val="2"/>
          <w:sz w:val="24"/>
          <w:szCs w:val="20"/>
          <w:lang w:val="en-US" w:eastAsia="zh-CN" w:bidi="ar-SA"/>
        </w:rPr>
        <w:t>（4）地表水样品检出</w:t>
      </w:r>
      <w:r>
        <w:rPr>
          <w:rFonts w:hint="default" w:ascii="仿宋" w:hAnsi="仿宋" w:eastAsia="仿宋" w:cs="仿宋"/>
          <w:color w:val="auto"/>
          <w:kern w:val="2"/>
          <w:sz w:val="24"/>
          <w:szCs w:val="20"/>
          <w:lang w:val="en-US" w:eastAsia="zh-CN" w:bidi="ar-SA"/>
        </w:rPr>
        <w:t>色度</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pH值</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硫酸根</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氯离子</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铜</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锌</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挥发酚</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阴离子表面活性剂</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高锰酸盐指数</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氨氮</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硝酸根（以N计）</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氟离子</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砷</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铅</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镍</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硼</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锡</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化学需氧量</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可萃取性石油烃(C</w:t>
      </w:r>
      <w:r>
        <w:rPr>
          <w:rFonts w:hint="default" w:ascii="仿宋" w:hAnsi="仿宋" w:eastAsia="仿宋" w:cs="仿宋"/>
          <w:color w:val="auto"/>
          <w:kern w:val="2"/>
          <w:sz w:val="24"/>
          <w:szCs w:val="20"/>
          <w:vertAlign w:val="subscript"/>
          <w:lang w:val="en-US" w:eastAsia="zh-CN" w:bidi="ar-SA"/>
        </w:rPr>
        <w:t>10</w:t>
      </w:r>
      <w:r>
        <w:rPr>
          <w:rFonts w:hint="default" w:ascii="仿宋" w:hAnsi="仿宋" w:eastAsia="仿宋" w:cs="仿宋"/>
          <w:color w:val="auto"/>
          <w:kern w:val="2"/>
          <w:sz w:val="24"/>
          <w:szCs w:val="20"/>
          <w:lang w:val="en-US" w:eastAsia="zh-CN" w:bidi="ar-SA"/>
        </w:rPr>
        <w:t>-C</w:t>
      </w:r>
      <w:r>
        <w:rPr>
          <w:rFonts w:hint="default" w:ascii="仿宋" w:hAnsi="仿宋" w:eastAsia="仿宋" w:cs="仿宋"/>
          <w:color w:val="auto"/>
          <w:kern w:val="2"/>
          <w:sz w:val="24"/>
          <w:szCs w:val="20"/>
          <w:vertAlign w:val="subscript"/>
          <w:lang w:val="en-US" w:eastAsia="zh-CN" w:bidi="ar-SA"/>
        </w:rPr>
        <w:t>40</w:t>
      </w:r>
      <w:r>
        <w:rPr>
          <w:rFonts w:hint="default" w:ascii="仿宋" w:hAnsi="仿宋" w:eastAsia="仿宋" w:cs="仿宋"/>
          <w:color w:val="auto"/>
          <w:kern w:val="2"/>
          <w:sz w:val="24"/>
          <w:szCs w:val="20"/>
          <w:lang w:val="en-US" w:eastAsia="zh-CN" w:bidi="ar-SA"/>
        </w:rPr>
        <w:t>)</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可吸附有机卤素</w:t>
      </w:r>
      <w:r>
        <w:rPr>
          <w:rFonts w:hint="eastAsia" w:ascii="仿宋" w:hAnsi="仿宋" w:eastAsia="仿宋" w:cs="仿宋"/>
          <w:color w:val="auto"/>
          <w:kern w:val="2"/>
          <w:sz w:val="24"/>
          <w:szCs w:val="20"/>
          <w:lang w:val="en-US" w:eastAsia="zh-CN" w:bidi="ar-SA"/>
        </w:rPr>
        <w:t>，除挥发酚外，其余检测因子检出数值均不超过《地表水质量标准》（GB3838-2002）Ⅲ类标准值。</w:t>
      </w:r>
    </w:p>
    <w:p w14:paraId="0D437DEC">
      <w:pPr>
        <w:pStyle w:val="4"/>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ascii="仿宋" w:hAnsi="仿宋" w:eastAsia="仿宋" w:cs="仿宋"/>
          <w:color w:val="auto"/>
          <w:kern w:val="2"/>
          <w:sz w:val="24"/>
          <w:szCs w:val="20"/>
          <w:lang w:val="en-US" w:eastAsia="zh-CN" w:bidi="ar-SA"/>
        </w:rPr>
      </w:pPr>
      <w:r>
        <w:rPr>
          <w:rFonts w:hint="eastAsia" w:ascii="仿宋" w:hAnsi="仿宋" w:eastAsia="仿宋" w:cs="仿宋"/>
          <w:color w:val="auto"/>
          <w:kern w:val="2"/>
          <w:sz w:val="24"/>
          <w:szCs w:val="20"/>
          <w:lang w:val="en-US" w:eastAsia="zh-CN" w:bidi="ar-SA"/>
        </w:rPr>
        <w:t>（5）底泥样品检出</w:t>
      </w:r>
      <w:r>
        <w:rPr>
          <w:rFonts w:hint="default" w:ascii="仿宋" w:hAnsi="仿宋" w:eastAsia="仿宋" w:cs="仿宋"/>
          <w:color w:val="auto"/>
          <w:kern w:val="2"/>
          <w:sz w:val="24"/>
          <w:szCs w:val="20"/>
          <w:lang w:val="en-US" w:eastAsia="zh-CN" w:bidi="ar-SA"/>
        </w:rPr>
        <w:t>砷</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镉</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铜</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铅</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汞</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镍</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锑</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硒</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锡</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锌</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硼</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硝酸盐氮</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亚硝酸盐氮</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水溶性硫酸盐</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氯离子</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氨氮</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硫化物</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总氟化物</w:t>
      </w:r>
      <w:r>
        <w:rPr>
          <w:rFonts w:hint="eastAsia" w:ascii="仿宋" w:hAnsi="仿宋" w:eastAsia="仿宋" w:cs="仿宋"/>
          <w:color w:val="auto"/>
          <w:kern w:val="2"/>
          <w:sz w:val="24"/>
          <w:szCs w:val="20"/>
          <w:lang w:val="en-US" w:eastAsia="zh-CN" w:bidi="ar-SA"/>
        </w:rPr>
        <w:t>、</w:t>
      </w:r>
      <w:r>
        <w:rPr>
          <w:rFonts w:hint="default" w:ascii="仿宋" w:hAnsi="仿宋" w:eastAsia="仿宋" w:cs="仿宋"/>
          <w:color w:val="auto"/>
          <w:kern w:val="2"/>
          <w:sz w:val="24"/>
          <w:szCs w:val="20"/>
          <w:lang w:val="en-US" w:eastAsia="zh-CN" w:bidi="ar-SA"/>
        </w:rPr>
        <w:t>石油烃(C</w:t>
      </w:r>
      <w:r>
        <w:rPr>
          <w:rFonts w:hint="default" w:ascii="仿宋" w:hAnsi="仿宋" w:eastAsia="仿宋" w:cs="仿宋"/>
          <w:color w:val="auto"/>
          <w:kern w:val="2"/>
          <w:sz w:val="24"/>
          <w:szCs w:val="20"/>
          <w:vertAlign w:val="subscript"/>
          <w:lang w:val="en-US" w:eastAsia="zh-CN" w:bidi="ar-SA"/>
        </w:rPr>
        <w:t>10</w:t>
      </w:r>
      <w:r>
        <w:rPr>
          <w:rFonts w:hint="default" w:ascii="仿宋" w:hAnsi="仿宋" w:eastAsia="仿宋" w:cs="仿宋"/>
          <w:color w:val="auto"/>
          <w:kern w:val="2"/>
          <w:sz w:val="24"/>
          <w:szCs w:val="20"/>
          <w:lang w:val="en-US" w:eastAsia="zh-CN" w:bidi="ar-SA"/>
        </w:rPr>
        <w:t>-C</w:t>
      </w:r>
      <w:r>
        <w:rPr>
          <w:rFonts w:hint="default" w:ascii="仿宋" w:hAnsi="仿宋" w:eastAsia="仿宋" w:cs="仿宋"/>
          <w:color w:val="auto"/>
          <w:kern w:val="2"/>
          <w:sz w:val="24"/>
          <w:szCs w:val="20"/>
          <w:vertAlign w:val="subscript"/>
          <w:lang w:val="en-US" w:eastAsia="zh-CN" w:bidi="ar-SA"/>
        </w:rPr>
        <w:t>40</w:t>
      </w:r>
      <w:r>
        <w:rPr>
          <w:rFonts w:hint="default" w:ascii="仿宋" w:hAnsi="仿宋" w:eastAsia="仿宋" w:cs="仿宋"/>
          <w:color w:val="auto"/>
          <w:kern w:val="2"/>
          <w:sz w:val="24"/>
          <w:szCs w:val="20"/>
          <w:lang w:val="en-US" w:eastAsia="zh-CN" w:bidi="ar-SA"/>
        </w:rPr>
        <w:t>)</w:t>
      </w:r>
      <w:r>
        <w:rPr>
          <w:rFonts w:hint="eastAsia" w:ascii="仿宋" w:hAnsi="仿宋" w:eastAsia="仿宋" w:cs="仿宋"/>
          <w:color w:val="auto"/>
          <w:kern w:val="2"/>
          <w:sz w:val="24"/>
          <w:szCs w:val="20"/>
          <w:lang w:val="en-US" w:eastAsia="zh-CN" w:bidi="ar-SA"/>
        </w:rPr>
        <w:t>，除铅因子外其余检出因子检出含量均不超过《土壤环境质量建设用地土壤污染风险管控标准（试行）》（GB36600-2018）中第一类用地筛选值标准。</w:t>
      </w:r>
    </w:p>
    <w:p w14:paraId="034A2C80">
      <w:pPr>
        <w:pStyle w:val="4"/>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6）结论：综合以上结果，该地块监测因子达到标准要求，该地块不属于污染地块，无需进行进一步调查。地块符合《土壤环境质量建设用地土壤污染风险管控标准（试行）》（GB36600-2018）中第一类筛选值要求，可规划为</w:t>
      </w:r>
      <w:r>
        <w:rPr>
          <w:rFonts w:hint="eastAsia" w:ascii="仿宋" w:hAnsi="仿宋" w:eastAsia="仿宋" w:cs="仿宋"/>
          <w:b w:val="0"/>
          <w:bCs w:val="0"/>
          <w:color w:val="auto"/>
          <w:sz w:val="24"/>
          <w:szCs w:val="32"/>
          <w:lang w:val="en-US" w:eastAsia="zh-CN"/>
        </w:rPr>
        <w:t>居住用地（R21）、商业服务业设施用地（B1）、幼托用地（Rax）、道路用地、公园绿地（G1）</w:t>
      </w:r>
      <w:r>
        <w:rPr>
          <w:rFonts w:hint="eastAsia" w:ascii="仿宋" w:hAnsi="仿宋" w:eastAsia="仿宋" w:cs="仿宋"/>
          <w:color w:val="auto"/>
          <w:szCs w:val="21"/>
          <w:lang w:val="en-US" w:eastAsia="zh-CN"/>
        </w:rPr>
        <w:t>用途使用。</w:t>
      </w:r>
    </w:p>
    <w:p w14:paraId="48536555">
      <w:pPr>
        <w:pStyle w:val="4"/>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1"/>
        <w:rPr>
          <w:rFonts w:hint="eastAsia" w:ascii="仿宋" w:hAnsi="仿宋" w:eastAsia="仿宋" w:cs="仿宋"/>
          <w:b/>
          <w:bCs w:val="0"/>
          <w:color w:val="auto"/>
          <w:sz w:val="28"/>
          <w:szCs w:val="28"/>
          <w:lang w:val="en-US" w:eastAsia="zh-CN"/>
        </w:rPr>
      </w:pPr>
      <w:bookmarkStart w:id="149" w:name="_Toc10722"/>
      <w:bookmarkStart w:id="150" w:name="_Toc11948"/>
      <w:bookmarkStart w:id="151" w:name="_Toc10972"/>
      <w:bookmarkStart w:id="152" w:name="_Toc6481"/>
      <w:r>
        <w:rPr>
          <w:rFonts w:hint="eastAsia" w:ascii="仿宋" w:hAnsi="仿宋" w:eastAsia="仿宋" w:cs="仿宋"/>
          <w:b/>
          <w:bCs w:val="0"/>
          <w:color w:val="auto"/>
          <w:sz w:val="28"/>
          <w:szCs w:val="28"/>
          <w:lang w:val="en-US" w:eastAsia="zh-CN"/>
        </w:rPr>
        <w:t>9.2 建议</w:t>
      </w:r>
      <w:bookmarkEnd w:id="149"/>
      <w:bookmarkEnd w:id="150"/>
      <w:bookmarkEnd w:id="151"/>
      <w:bookmarkEnd w:id="152"/>
    </w:p>
    <w:p w14:paraId="4A57FB18">
      <w:pPr>
        <w:bidi w:val="0"/>
        <w:rPr>
          <w:rFonts w:hint="eastAsia" w:ascii="仿宋" w:hAnsi="仿宋" w:eastAsia="仿宋" w:cs="仿宋"/>
          <w:color w:val="auto"/>
        </w:rPr>
      </w:pPr>
      <w:r>
        <w:rPr>
          <w:rFonts w:hint="eastAsia" w:ascii="仿宋" w:hAnsi="仿宋" w:eastAsia="仿宋" w:cs="仿宋"/>
          <w:color w:val="auto"/>
        </w:rPr>
        <w:t>后续地块再开发利用工作时，应该遵循相关环境保护规程，保护环境和人体健康，避免产生土壤和地下水污染。结合上述调查结论，建议通过以下手段进行风险管控：</w:t>
      </w:r>
    </w:p>
    <w:p w14:paraId="6AA7C975">
      <w:pPr>
        <w:bidi w:val="0"/>
        <w:rPr>
          <w:rFonts w:hint="eastAsia" w:ascii="仿宋" w:hAnsi="仿宋" w:eastAsia="仿宋" w:cs="仿宋"/>
          <w:color w:val="auto"/>
        </w:rPr>
      </w:pPr>
      <w:r>
        <w:rPr>
          <w:rFonts w:hint="eastAsia" w:ascii="仿宋" w:hAnsi="仿宋" w:eastAsia="仿宋" w:cs="仿宋"/>
          <w:color w:val="auto"/>
        </w:rPr>
        <w:t>（1）本地块规划为</w:t>
      </w:r>
      <w:r>
        <w:rPr>
          <w:rFonts w:hint="eastAsia" w:ascii="仿宋" w:hAnsi="仿宋" w:eastAsia="仿宋" w:cs="仿宋"/>
          <w:color w:val="auto"/>
          <w:lang w:val="en-US" w:eastAsia="zh-CN"/>
        </w:rPr>
        <w:t>居住用地</w:t>
      </w:r>
      <w:r>
        <w:rPr>
          <w:rFonts w:hint="eastAsia" w:ascii="仿宋" w:hAnsi="仿宋" w:eastAsia="仿宋" w:cs="仿宋"/>
          <w:color w:val="auto"/>
        </w:rPr>
        <w:t>，在下一步开发或建筑施工期间应保护地块不被外界人为环境污染。控制该地块保持现有的良好状态，杜绝地块在调查期与接下来再开发利用的监管真空，防止出现人为倾倒固废、偷排工业废水等现象。</w:t>
      </w:r>
    </w:p>
    <w:p w14:paraId="557472D5">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（2）开发时尽量避免人体直接接触土壤和地下水，尤其是地块涉及开挖等措施时，应加强人员的劳保防护，如佩戴口罩、手套和雨靴等。</w:t>
      </w:r>
    </w:p>
    <w:p w14:paraId="27D2468F">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lang w:val="en-US" w:eastAsia="zh-CN"/>
        </w:rPr>
      </w:pPr>
      <w:r>
        <w:rPr>
          <w:rFonts w:hint="eastAsia" w:ascii="仿宋" w:hAnsi="仿宋" w:eastAsia="仿宋" w:cs="仿宋"/>
          <w:color w:val="auto"/>
          <w:lang w:eastAsia="zh-CN"/>
        </w:rPr>
        <w:t>（</w:t>
      </w:r>
      <w:r>
        <w:rPr>
          <w:rFonts w:hint="eastAsia" w:ascii="仿宋" w:hAnsi="仿宋" w:eastAsia="仿宋" w:cs="仿宋"/>
          <w:color w:val="auto"/>
          <w:lang w:val="en-US" w:eastAsia="zh-CN"/>
        </w:rPr>
        <w:t>3</w:t>
      </w:r>
      <w:r>
        <w:rPr>
          <w:rFonts w:hint="eastAsia" w:ascii="仿宋" w:hAnsi="仿宋" w:eastAsia="仿宋" w:cs="仿宋"/>
          <w:color w:val="auto"/>
          <w:lang w:eastAsia="zh-CN"/>
        </w:rPr>
        <w:t>）</w:t>
      </w:r>
      <w:r>
        <w:rPr>
          <w:rFonts w:hint="eastAsia" w:ascii="仿宋" w:hAnsi="仿宋" w:eastAsia="仿宋" w:cs="仿宋"/>
          <w:color w:val="auto"/>
          <w:lang w:val="en-US" w:eastAsia="zh-CN"/>
        </w:rPr>
        <w:t>本次调查区域内地下水总体水质未达GB/T 14848-2017中</w:t>
      </w:r>
      <w:r>
        <w:rPr>
          <w:rFonts w:hint="eastAsia" w:ascii="仿宋" w:hAnsi="仿宋" w:eastAsia="仿宋" w:cs="仿宋"/>
          <w:color w:val="auto"/>
          <w:lang w:val="en-US" w:eastAsia="zh-CN"/>
        </w:rPr>
        <w:fldChar w:fldCharType="begin"/>
      </w:r>
      <w:r>
        <w:rPr>
          <w:rFonts w:hint="eastAsia" w:ascii="仿宋" w:hAnsi="仿宋" w:eastAsia="仿宋" w:cs="仿宋"/>
          <w:color w:val="auto"/>
          <w:lang w:val="en-US" w:eastAsia="zh-CN"/>
        </w:rPr>
        <w:instrText xml:space="preserve"> = 4 \* ROMAN \* MERGEFORMAT </w:instrText>
      </w:r>
      <w:r>
        <w:rPr>
          <w:rFonts w:hint="eastAsia" w:ascii="仿宋" w:hAnsi="仿宋" w:eastAsia="仿宋" w:cs="仿宋"/>
          <w:color w:val="auto"/>
          <w:lang w:val="en-US" w:eastAsia="zh-CN"/>
        </w:rPr>
        <w:fldChar w:fldCharType="separate"/>
      </w:r>
      <w:r>
        <w:rPr>
          <w:rFonts w:hint="eastAsia" w:ascii="仿宋" w:hAnsi="仿宋" w:eastAsia="仿宋" w:cs="仿宋"/>
          <w:color w:val="auto"/>
        </w:rPr>
        <w:t>IV</w:t>
      </w:r>
      <w:r>
        <w:rPr>
          <w:rFonts w:hint="eastAsia" w:ascii="仿宋" w:hAnsi="仿宋" w:eastAsia="仿宋" w:cs="仿宋"/>
          <w:color w:val="auto"/>
          <w:lang w:val="en-US" w:eastAsia="zh-CN"/>
        </w:rPr>
        <w:fldChar w:fldCharType="end"/>
      </w:r>
      <w:r>
        <w:rPr>
          <w:rFonts w:hint="eastAsia" w:ascii="仿宋" w:hAnsi="仿宋" w:eastAsia="仿宋" w:cs="仿宋"/>
          <w:color w:val="auto"/>
          <w:lang w:val="en-US" w:eastAsia="zh-CN"/>
        </w:rPr>
        <w:t>类水质标准，在地块的未来开发利用中禁止开发利用地下水。</w:t>
      </w:r>
    </w:p>
    <w:p w14:paraId="6EDF9720">
      <w:pPr>
        <w:pStyle w:val="4"/>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（4）</w:t>
      </w:r>
      <w:r>
        <w:rPr>
          <w:rFonts w:hint="eastAsia" w:ascii="仿宋" w:hAnsi="仿宋" w:eastAsia="仿宋" w:cs="仿宋"/>
          <w:color w:val="auto"/>
          <w:kern w:val="2"/>
          <w:sz w:val="24"/>
          <w:szCs w:val="20"/>
          <w:lang w:val="en-US" w:eastAsia="zh-CN" w:bidi="ar-SA"/>
        </w:rPr>
        <w:t>建议后续涉及到如泰运河区域开发利用时补充监测，根据检测结果按照国家及地方相关的法律法规要求处置，不得随意处置。</w:t>
      </w:r>
    </w:p>
    <w:p w14:paraId="59047E88">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lang w:val="en-US" w:eastAsia="zh-CN"/>
        </w:rPr>
      </w:pPr>
      <w:r>
        <w:rPr>
          <w:rFonts w:hint="eastAsia" w:ascii="仿宋" w:hAnsi="仿宋" w:eastAsia="仿宋" w:cs="仿宋"/>
          <w:color w:val="auto"/>
        </w:rPr>
        <w:t>地块开发建设阶段需对本地块土壤及建筑垃圾妥善处置，不可随意外运倾倒；注意做好建筑工人的安全防护。同时需做好地块管理工作，禁止外来土随意堆放</w:t>
      </w:r>
      <w:r>
        <w:rPr>
          <w:rFonts w:hint="eastAsia" w:ascii="仿宋" w:hAnsi="仿宋" w:eastAsia="仿宋" w:cs="仿宋"/>
          <w:color w:val="auto"/>
          <w:lang w:eastAsia="zh-CN"/>
        </w:rPr>
        <w:t>。</w:t>
      </w:r>
    </w:p>
    <w:p w14:paraId="4BC82960">
      <w:pPr>
        <w:bidi w:val="0"/>
        <w:rPr>
          <w:rFonts w:hint="eastAsia" w:ascii="仿宋" w:hAnsi="仿宋" w:eastAsia="仿宋" w:cs="仿宋"/>
          <w:color w:val="auto"/>
        </w:rPr>
      </w:pPr>
    </w:p>
    <w:p w14:paraId="500AD25A">
      <w:pPr>
        <w:pStyle w:val="4"/>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9"/>
        <w:rPr>
          <w:rFonts w:hint="eastAsia" w:ascii="仿宋" w:hAnsi="仿宋" w:eastAsia="仿宋" w:cs="仿宋"/>
          <w:b/>
          <w:bCs w:val="0"/>
          <w:color w:val="auto"/>
          <w:sz w:val="28"/>
          <w:szCs w:val="28"/>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CC25A4A">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outlineLvl w:val="0"/>
        <w:rPr>
          <w:rFonts w:hint="eastAsia" w:ascii="仿宋" w:hAnsi="仿宋" w:eastAsia="仿宋" w:cs="仿宋"/>
          <w:b/>
          <w:bCs w:val="0"/>
          <w:color w:val="auto"/>
          <w:kern w:val="0"/>
          <w:sz w:val="36"/>
          <w:szCs w:val="36"/>
          <w:lang w:val="en-US" w:eastAsia="zh-CN" w:bidi="zh-CN"/>
        </w:rPr>
      </w:pPr>
      <w:bookmarkStart w:id="153" w:name="_Toc32488"/>
      <w:bookmarkStart w:id="154" w:name="_Toc15743"/>
      <w:bookmarkStart w:id="155" w:name="_Toc11967"/>
      <w:bookmarkStart w:id="156" w:name="_Toc27376"/>
      <w:bookmarkStart w:id="157" w:name="_Toc25071"/>
      <w:r>
        <w:rPr>
          <w:rFonts w:hint="eastAsia" w:ascii="仿宋" w:hAnsi="仿宋" w:eastAsia="仿宋" w:cs="仿宋"/>
          <w:b/>
          <w:bCs w:val="0"/>
          <w:color w:val="auto"/>
          <w:kern w:val="0"/>
          <w:sz w:val="36"/>
          <w:szCs w:val="36"/>
          <w:lang w:val="en-US" w:eastAsia="zh-CN" w:bidi="zh-CN"/>
        </w:rPr>
        <w:t>10  附件</w:t>
      </w:r>
      <w:bookmarkEnd w:id="153"/>
      <w:bookmarkEnd w:id="154"/>
      <w:bookmarkEnd w:id="155"/>
      <w:bookmarkEnd w:id="156"/>
      <w:bookmarkEnd w:id="157"/>
    </w:p>
    <w:p w14:paraId="294DF8F7">
      <w:pPr>
        <w:pStyle w:val="13"/>
        <w:jc w:val="left"/>
        <w:rPr>
          <w:rFonts w:hint="eastAsia" w:ascii="仿宋" w:hAnsi="仿宋" w:eastAsia="仿宋" w:cs="仿宋"/>
          <w:b w:val="0"/>
          <w:bCs w:val="0"/>
          <w:color w:val="auto"/>
          <w:sz w:val="32"/>
          <w:szCs w:val="22"/>
          <w:lang w:val="en-US" w:eastAsia="zh-CN"/>
        </w:rPr>
      </w:pPr>
      <w:r>
        <w:rPr>
          <w:rFonts w:hint="eastAsia" w:ascii="仿宋" w:hAnsi="仿宋" w:eastAsia="仿宋" w:cs="仿宋"/>
          <w:b w:val="0"/>
          <w:bCs w:val="0"/>
          <w:color w:val="auto"/>
          <w:sz w:val="32"/>
          <w:szCs w:val="22"/>
          <w:lang w:val="en-US" w:eastAsia="zh-CN"/>
        </w:rPr>
        <w:t>附件1  地块各类权属征收红线规划等证明文件</w:t>
      </w:r>
    </w:p>
    <w:p w14:paraId="247AA57E">
      <w:pPr>
        <w:pStyle w:val="13"/>
        <w:jc w:val="left"/>
        <w:rPr>
          <w:rFonts w:hint="eastAsia" w:ascii="仿宋" w:hAnsi="仿宋" w:eastAsia="仿宋" w:cs="仿宋"/>
          <w:b w:val="0"/>
          <w:bCs w:val="0"/>
          <w:color w:val="auto"/>
          <w:sz w:val="32"/>
          <w:szCs w:val="22"/>
          <w:lang w:val="en-US" w:eastAsia="zh-CN"/>
        </w:rPr>
      </w:pPr>
      <w:r>
        <w:rPr>
          <w:rFonts w:hint="eastAsia" w:ascii="仿宋" w:hAnsi="仿宋" w:eastAsia="仿宋" w:cs="仿宋"/>
          <w:b w:val="0"/>
          <w:bCs w:val="0"/>
          <w:color w:val="auto"/>
          <w:sz w:val="32"/>
          <w:szCs w:val="22"/>
          <w:lang w:val="en-US" w:eastAsia="zh-CN"/>
        </w:rPr>
        <w:t>附件2  地块（含地块内企业）相关历史记录、水文地质调查报告或测绘报告等地块资料</w:t>
      </w:r>
    </w:p>
    <w:p w14:paraId="6B7C4163">
      <w:pPr>
        <w:pStyle w:val="13"/>
        <w:jc w:val="left"/>
        <w:rPr>
          <w:rFonts w:hint="eastAsia" w:ascii="仿宋" w:hAnsi="仿宋" w:eastAsia="仿宋" w:cs="仿宋"/>
          <w:b w:val="0"/>
          <w:bCs w:val="0"/>
          <w:color w:val="auto"/>
          <w:sz w:val="32"/>
          <w:szCs w:val="22"/>
          <w:lang w:val="en-US" w:eastAsia="zh-CN"/>
        </w:rPr>
      </w:pPr>
      <w:r>
        <w:rPr>
          <w:rFonts w:hint="eastAsia" w:ascii="仿宋" w:hAnsi="仿宋" w:eastAsia="仿宋" w:cs="仿宋"/>
          <w:b w:val="0"/>
          <w:bCs w:val="0"/>
          <w:color w:val="auto"/>
          <w:sz w:val="32"/>
          <w:szCs w:val="22"/>
          <w:lang w:val="en-US" w:eastAsia="zh-CN"/>
        </w:rPr>
        <w:t>附件3  人员访谈原始记录单</w:t>
      </w:r>
    </w:p>
    <w:p w14:paraId="47F7FDE9">
      <w:pPr>
        <w:pStyle w:val="13"/>
        <w:jc w:val="left"/>
        <w:rPr>
          <w:rFonts w:hint="eastAsia" w:ascii="仿宋" w:hAnsi="仿宋" w:eastAsia="仿宋" w:cs="仿宋"/>
          <w:b w:val="0"/>
          <w:bCs w:val="0"/>
          <w:color w:val="auto"/>
          <w:sz w:val="32"/>
          <w:szCs w:val="22"/>
          <w:lang w:val="en-US" w:eastAsia="zh-CN"/>
        </w:rPr>
      </w:pPr>
      <w:r>
        <w:rPr>
          <w:rFonts w:hint="eastAsia" w:ascii="仿宋" w:hAnsi="仿宋" w:eastAsia="仿宋" w:cs="仿宋"/>
          <w:b w:val="0"/>
          <w:bCs w:val="0"/>
          <w:color w:val="auto"/>
          <w:sz w:val="32"/>
          <w:szCs w:val="22"/>
          <w:lang w:val="en-US" w:eastAsia="zh-CN"/>
        </w:rPr>
        <w:t>附件4  调查采样方案专家论证意见及修改清单</w:t>
      </w:r>
    </w:p>
    <w:p w14:paraId="7A2E95E9">
      <w:pPr>
        <w:pStyle w:val="13"/>
        <w:jc w:val="left"/>
        <w:rPr>
          <w:rFonts w:hint="eastAsia" w:ascii="仿宋" w:hAnsi="仿宋" w:eastAsia="仿宋" w:cs="仿宋"/>
          <w:b w:val="0"/>
          <w:bCs w:val="0"/>
          <w:color w:val="auto"/>
          <w:sz w:val="32"/>
          <w:szCs w:val="22"/>
          <w:lang w:val="en-US" w:eastAsia="zh-CN"/>
        </w:rPr>
      </w:pPr>
      <w:r>
        <w:rPr>
          <w:rFonts w:hint="eastAsia" w:ascii="仿宋" w:hAnsi="仿宋" w:eastAsia="仿宋" w:cs="仿宋"/>
          <w:b w:val="0"/>
          <w:bCs w:val="0"/>
          <w:color w:val="auto"/>
          <w:sz w:val="32"/>
          <w:szCs w:val="22"/>
          <w:lang w:val="en-US" w:eastAsia="zh-CN"/>
        </w:rPr>
        <w:t>附件5  钻孔记录单及钻孔柱状图、成井记录单、手持设备日常校准记录、快筛记录单、原始采样记录及现场工作记录、洗井记录、流转记录</w:t>
      </w:r>
    </w:p>
    <w:p w14:paraId="35125095">
      <w:pPr>
        <w:pStyle w:val="13"/>
        <w:jc w:val="left"/>
        <w:rPr>
          <w:rFonts w:hint="eastAsia" w:ascii="仿宋" w:hAnsi="仿宋" w:eastAsia="仿宋" w:cs="仿宋"/>
          <w:b w:val="0"/>
          <w:bCs w:val="0"/>
          <w:color w:val="auto"/>
          <w:sz w:val="32"/>
          <w:szCs w:val="22"/>
          <w:lang w:val="en-US" w:eastAsia="zh-CN"/>
        </w:rPr>
      </w:pPr>
      <w:r>
        <w:rPr>
          <w:rFonts w:hint="eastAsia" w:ascii="仿宋" w:hAnsi="仿宋" w:eastAsia="仿宋" w:cs="仿宋"/>
          <w:b w:val="0"/>
          <w:bCs w:val="0"/>
          <w:color w:val="auto"/>
          <w:sz w:val="32"/>
          <w:szCs w:val="22"/>
          <w:lang w:val="en-US" w:eastAsia="zh-CN"/>
        </w:rPr>
        <w:t>附件6  现场调查工作过程照片、地块现场采样全流程照片</w:t>
      </w:r>
    </w:p>
    <w:p w14:paraId="71DE60CD">
      <w:pPr>
        <w:pStyle w:val="13"/>
        <w:jc w:val="left"/>
        <w:rPr>
          <w:rFonts w:hint="eastAsia" w:ascii="仿宋" w:hAnsi="仿宋" w:eastAsia="仿宋" w:cs="仿宋"/>
          <w:b w:val="0"/>
          <w:bCs w:val="0"/>
          <w:color w:val="auto"/>
          <w:sz w:val="32"/>
          <w:szCs w:val="22"/>
          <w:lang w:val="en-US" w:eastAsia="zh-CN"/>
        </w:rPr>
      </w:pPr>
      <w:r>
        <w:rPr>
          <w:rFonts w:hint="eastAsia" w:ascii="仿宋" w:hAnsi="仿宋" w:eastAsia="仿宋" w:cs="仿宋"/>
          <w:b w:val="0"/>
          <w:bCs w:val="0"/>
          <w:color w:val="auto"/>
          <w:sz w:val="32"/>
          <w:szCs w:val="22"/>
          <w:lang w:val="en-US" w:eastAsia="zh-CN"/>
        </w:rPr>
        <w:t>附件7  实验室资质及检测项目资质认定、实验室检测报告（盖章）及质控报告</w:t>
      </w:r>
    </w:p>
    <w:p w14:paraId="503BF887">
      <w:r>
        <w:rPr>
          <w:rFonts w:hint="eastAsia" w:ascii="仿宋" w:hAnsi="仿宋" w:eastAsia="仿宋" w:cs="仿宋"/>
          <w:b w:val="0"/>
          <w:bCs w:val="0"/>
          <w:color w:val="auto"/>
          <w:sz w:val="32"/>
          <w:szCs w:val="22"/>
          <w:lang w:val="en-US" w:eastAsia="zh-CN"/>
        </w:rPr>
        <w:t>附件8  报告主要公示证明材料</w:t>
      </w:r>
      <w:bookmarkStart w:id="158" w:name="_GoBack"/>
      <w:bookmarkEnd w:id="158"/>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76596">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87"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0FE5A2">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NMHfiDgAQAAwQMAAA4AAAAA&#10;AAAAAQAgAAAAHgEAAGRycy9lMm9Eb2MueG1sUEsFBgAAAAAGAAYAWQEAAHAFAAAAAA==&#10;">
              <v:fill on="f" focussize="0,0"/>
              <v:stroke on="f"/>
              <v:imagedata o:title=""/>
              <o:lock v:ext="edit" aspectratio="f"/>
              <v:textbox inset="0mm,0mm,0mm,0mm" style="mso-fit-shape-to-text:t;">
                <w:txbxContent>
                  <w:p w14:paraId="680FE5A2">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D7EA6">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F6C91">
    <w:pPr>
      <w:widowControl w:val="0"/>
      <w:autoSpaceDE w:val="0"/>
      <w:autoSpaceDN w:val="0"/>
      <w:spacing w:before="0" w:after="0" w:line="14" w:lineRule="auto"/>
      <w:ind w:left="0" w:right="0"/>
      <w:jc w:val="left"/>
      <w:rPr>
        <w:rFonts w:ascii="宋体" w:hAnsi="宋体" w:eastAsia="宋体" w:cs="宋体"/>
        <w:sz w:val="20"/>
        <w:szCs w:val="24"/>
        <w:lang w:val="zh-CN" w:eastAsia="zh-CN" w:bidi="zh-CN"/>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88"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BEE570">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2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FZa1FHgAQAAwQMAAA4AAAAA&#10;AAAAAQAgAAAAHgEAAGRycy9lMm9Eb2MueG1sUEsFBgAAAAAGAAYAWQEAAHAFAAAAAA==&#10;">
              <v:fill on="f" focussize="0,0"/>
              <v:stroke on="f"/>
              <v:imagedata o:title=""/>
              <o:lock v:ext="edit" aspectratio="f"/>
              <v:textbox inset="0mm,0mm,0mm,0mm" style="mso-fit-shape-to-text:t;">
                <w:txbxContent>
                  <w:p w14:paraId="1CBEE570">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E143A">
    <w:pPr>
      <w:pStyle w:val="8"/>
      <w:pBdr>
        <w:bottom w:val="none" w:color="auto" w:sz="0" w:space="1"/>
      </w:pBdr>
      <w:ind w:left="0" w:leftChars="0" w:firstLine="0" w:firstLineChars="0"/>
      <w:jc w:val="cent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75ACF">
    <w:pPr>
      <w:pStyle w:val="8"/>
      <w:pBdr>
        <w:bottom w:val="single" w:color="auto" w:sz="4" w:space="1"/>
      </w:pBdr>
      <w:ind w:left="0" w:leftChars="0" w:firstLine="0" w:firstLineChars="0"/>
      <w:jc w:val="center"/>
      <w:rPr>
        <w:sz w:val="18"/>
        <w:szCs w:val="18"/>
      </w:rPr>
    </w:pPr>
    <w:r>
      <w:rPr>
        <w:rFonts w:hint="eastAsia" w:cs="Times New Roman"/>
        <w:sz w:val="18"/>
        <w:szCs w:val="18"/>
        <w:lang w:val="en-US" w:eastAsia="zh-CN"/>
      </w:rPr>
      <w:t>如皋城西片区一期广福路北、花城大道东（319#B）地块土壤污染状况</w:t>
    </w:r>
    <w:r>
      <w:rPr>
        <w:rFonts w:hint="default" w:ascii="Times New Roman" w:hAnsi="Times New Roman" w:eastAsia="宋体" w:cs="Times New Roman"/>
        <w:sz w:val="18"/>
        <w:szCs w:val="18"/>
        <w:lang w:val="en-US" w:eastAsia="zh-CN"/>
      </w:rPr>
      <w:t>调查报告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1891D">
    <w:pPr>
      <w:pStyle w:val="8"/>
      <w:pBdr>
        <w:bottom w:val="none" w:color="auto" w:sz="0" w:space="1"/>
      </w:pBdr>
      <w:ind w:left="0" w:leftChars="0" w:firstLine="0" w:firstLineChars="0"/>
      <w:jc w:val="cent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3568E">
    <w:pPr>
      <w:pStyle w:val="8"/>
      <w:pBdr>
        <w:bottom w:val="single" w:color="auto" w:sz="4" w:space="1"/>
      </w:pBdr>
      <w:ind w:left="0" w:leftChars="0" w:firstLine="0" w:firstLineChars="0"/>
      <w:jc w:val="center"/>
      <w:rPr>
        <w:sz w:val="18"/>
        <w:szCs w:val="18"/>
      </w:rPr>
    </w:pPr>
    <w:r>
      <w:rPr>
        <w:rFonts w:hint="eastAsia" w:cs="Times New Roman"/>
        <w:sz w:val="18"/>
        <w:szCs w:val="18"/>
        <w:lang w:val="en-US" w:eastAsia="zh-CN"/>
      </w:rPr>
      <w:t>如皋城西片区一期广福路北、花城大道东（319#B）地块</w:t>
    </w:r>
    <w:r>
      <w:rPr>
        <w:rFonts w:hint="default" w:ascii="Times New Roman" w:hAnsi="Times New Roman" w:eastAsia="宋体" w:cs="Times New Roman"/>
        <w:sz w:val="18"/>
        <w:szCs w:val="18"/>
        <w:lang w:val="en-US" w:eastAsia="zh-CN"/>
      </w:rPr>
      <w:t>土壤污染状况调查报告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1B2D84"/>
    <w:multiLevelType w:val="singleLevel"/>
    <w:tmpl w:val="061B2D84"/>
    <w:lvl w:ilvl="0" w:tentative="0">
      <w:start w:val="3"/>
      <w:numFmt w:val="chineseCounting"/>
      <w:suff w:val="nothing"/>
      <w:lvlText w:val="%1、"/>
      <w:lvlJc w:val="left"/>
      <w:rPr>
        <w:rFonts w:hint="eastAsia"/>
      </w:rPr>
    </w:lvl>
  </w:abstractNum>
  <w:abstractNum w:abstractNumId="1">
    <w:nsid w:val="37D8A471"/>
    <w:multiLevelType w:val="singleLevel"/>
    <w:tmpl w:val="37D8A471"/>
    <w:lvl w:ilvl="0" w:tentative="0">
      <w:start w:val="1"/>
      <w:numFmt w:val="bullet"/>
      <w:pStyle w:val="6"/>
      <w:lvlText w:val=""/>
      <w:lvlJc w:val="left"/>
      <w:pPr>
        <w:tabs>
          <w:tab w:val="left" w:pos="2040"/>
        </w:tabs>
        <w:ind w:left="2040" w:hanging="360"/>
      </w:pPr>
      <w:rPr>
        <w:rFonts w:hint="default" w:ascii="Wingdings" w:hAnsi="Wingdings"/>
      </w:rPr>
    </w:lvl>
  </w:abstractNum>
  <w:abstractNum w:abstractNumId="2">
    <w:nsid w:val="60872F7D"/>
    <w:multiLevelType w:val="multilevel"/>
    <w:tmpl w:val="60872F7D"/>
    <w:lvl w:ilvl="0" w:tentative="0">
      <w:start w:val="1"/>
      <w:numFmt w:val="decimal"/>
      <w:lvlText w:val="%1"/>
      <w:lvlJc w:val="left"/>
      <w:pPr>
        <w:ind w:left="432" w:hanging="432"/>
      </w:pPr>
      <w:rPr>
        <w:rFonts w:hint="default" w:ascii="Times New Roman" w:hAnsi="Times New Roman" w:eastAsia="宋体"/>
      </w:rPr>
    </w:lvl>
    <w:lvl w:ilvl="1" w:tentative="0">
      <w:start w:val="1"/>
      <w:numFmt w:val="decimal"/>
      <w:lvlText w:val="%1.%2"/>
      <w:lvlJc w:val="left"/>
      <w:pPr>
        <w:ind w:left="575" w:hanging="575"/>
      </w:pPr>
      <w:rPr>
        <w:rFonts w:hint="default" w:ascii="Times New Roman" w:hAnsi="Times New Roman" w:eastAsia="宋体"/>
      </w:rPr>
    </w:lvl>
    <w:lvl w:ilvl="2" w:tentative="0">
      <w:start w:val="1"/>
      <w:numFmt w:val="decimal"/>
      <w:pStyle w:val="2"/>
      <w:lvlText w:val="%1.%2.%3"/>
      <w:lvlJc w:val="left"/>
      <w:pPr>
        <w:ind w:left="720" w:hanging="720"/>
      </w:pPr>
      <w:rPr>
        <w:rFonts w:hint="default" w:ascii="Times New Roman" w:hAnsi="Times New Roman" w:eastAsia="宋体"/>
      </w:rPr>
    </w:lvl>
    <w:lvl w:ilvl="3" w:tentative="0">
      <w:start w:val="1"/>
      <w:numFmt w:val="decimal"/>
      <w:lvlText w:val="%1.%2.%3.%4"/>
      <w:lvlJc w:val="left"/>
      <w:pPr>
        <w:ind w:left="864" w:hanging="864"/>
      </w:pPr>
      <w:rPr>
        <w:rFonts w:hint="default" w:ascii="Times New Roman" w:hAnsi="Times New Roman" w:eastAsia="宋体"/>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5YWVjOWFmYjM0NTIzMzMzZDIyY2RmZGY3MTNkYzcifQ=="/>
  </w:docVars>
  <w:rsids>
    <w:rsidRoot w:val="007A57C0"/>
    <w:rsid w:val="007A57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880" w:firstLineChars="200"/>
      <w:jc w:val="both"/>
    </w:pPr>
    <w:rPr>
      <w:rFonts w:ascii="Times New Roman" w:hAnsi="Times New Roman" w:eastAsia="宋体" w:cs="Times New Roman"/>
      <w:kern w:val="2"/>
      <w:sz w:val="24"/>
      <w:szCs w:val="20"/>
      <w:lang w:val="en-US" w:eastAsia="zh-CN" w:bidi="ar-SA"/>
    </w:rPr>
  </w:style>
  <w:style w:type="paragraph" w:styleId="2">
    <w:name w:val="heading 3"/>
    <w:basedOn w:val="1"/>
    <w:next w:val="3"/>
    <w:unhideWhenUsed/>
    <w:qFormat/>
    <w:uiPriority w:val="0"/>
    <w:pPr>
      <w:keepNext/>
      <w:keepLines/>
      <w:numPr>
        <w:ilvl w:val="2"/>
        <w:numId w:val="1"/>
      </w:numPr>
      <w:spacing w:before="260" w:beforeLines="0" w:beforeAutospacing="0" w:after="260" w:afterLines="0" w:afterAutospacing="0" w:line="360" w:lineRule="auto"/>
      <w:ind w:left="720" w:hanging="720" w:firstLineChars="0"/>
      <w:outlineLvl w:val="2"/>
    </w:pPr>
    <w:rPr>
      <w:rFonts w:ascii="Times New Roman" w:hAnsi="Times New Roman" w:eastAsia="宋体" w:cs="Times New Roman"/>
      <w:b/>
      <w:sz w:val="32"/>
      <w:szCs w:val="22"/>
    </w:rPr>
  </w:style>
  <w:style w:type="character" w:default="1" w:styleId="16">
    <w:name w:val="Default Paragraph Font"/>
    <w:semiHidden/>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pPr>
    <w:rPr>
      <w:szCs w:val="20"/>
    </w:rPr>
  </w:style>
  <w:style w:type="paragraph" w:styleId="4">
    <w:name w:val="Body Text"/>
    <w:basedOn w:val="1"/>
    <w:next w:val="1"/>
    <w:qFormat/>
    <w:uiPriority w:val="0"/>
    <w:pPr>
      <w:spacing w:after="120" w:afterLines="0" w:afterAutospacing="0"/>
    </w:pPr>
  </w:style>
  <w:style w:type="paragraph" w:styleId="5">
    <w:name w:val="Body Text Indent"/>
    <w:basedOn w:val="1"/>
    <w:next w:val="1"/>
    <w:qFormat/>
    <w:uiPriority w:val="0"/>
    <w:pPr>
      <w:spacing w:after="120" w:afterLines="0" w:afterAutospacing="0"/>
      <w:ind w:left="420" w:leftChars="200"/>
    </w:pPr>
  </w:style>
  <w:style w:type="paragraph" w:styleId="6">
    <w:name w:val="List Bullet 5"/>
    <w:basedOn w:val="1"/>
    <w:uiPriority w:val="0"/>
    <w:pPr>
      <w:numPr>
        <w:ilvl w:val="0"/>
        <w:numId w:val="2"/>
      </w:numPr>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Normal (Web)"/>
    <w:basedOn w:val="1"/>
    <w:unhideWhenUsed/>
    <w:qFormat/>
    <w:uiPriority w:val="0"/>
    <w:pPr>
      <w:widowControl/>
      <w:spacing w:before="100" w:beforeAutospacing="1" w:after="100" w:afterAutospacing="1" w:line="240" w:lineRule="auto"/>
      <w:ind w:firstLine="0" w:firstLineChars="0"/>
      <w:jc w:val="left"/>
    </w:pPr>
    <w:rPr>
      <w:rFonts w:ascii="宋体" w:hAnsi="宋体" w:cs="宋体"/>
      <w:kern w:val="0"/>
      <w:sz w:val="24"/>
      <w:szCs w:val="24"/>
    </w:rPr>
  </w:style>
  <w:style w:type="paragraph" w:styleId="12">
    <w:name w:val="Body Text First Indent"/>
    <w:basedOn w:val="4"/>
    <w:qFormat/>
    <w:uiPriority w:val="0"/>
    <w:pPr>
      <w:ind w:firstLine="420" w:firstLineChars="100"/>
    </w:pPr>
  </w:style>
  <w:style w:type="paragraph" w:styleId="13">
    <w:name w:val="Body Text First Indent 2"/>
    <w:basedOn w:val="5"/>
    <w:next w:val="12"/>
    <w:qFormat/>
    <w:uiPriority w:val="0"/>
    <w:pPr>
      <w:ind w:left="0" w:leftChars="0" w:firstLine="420" w:firstLineChars="200"/>
      <w:jc w:val="center"/>
    </w:pPr>
    <w:rPr>
      <w:rFonts w:ascii="Times New Roman" w:hAnsi="Times New Roman"/>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其他文本"/>
    <w:basedOn w:val="1"/>
    <w:qFormat/>
    <w:uiPriority w:val="0"/>
    <w:pPr>
      <w:ind w:firstLine="0" w:firstLineChars="0"/>
      <w:jc w:val="center"/>
    </w:pPr>
    <w:rPr>
      <w:b/>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4.emf"/><Relationship Id="rId16" Type="http://schemas.openxmlformats.org/officeDocument/2006/relationships/oleObject" Target="embeddings/oleObject1.bin"/><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2024-07-10T06:17:00Z</dcterms:created>
  <dc:creator>一贫如喜羊羊</dc:creator>
  <cp:lastModifiedBy>一贫如喜羊羊</cp:lastModifiedBy>
  <dcterms:modified xsi:type="dcterms:W3CDTF">2024-07-10T06:17:41Z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9593266B03384A32B139F5332AF81A3B_11</vt:lpwstr>
  </property>
</Properties>
</file>