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20" w:lineRule="auto"/>
        <w:ind w:firstLine="0" w:firstLineChars="0"/>
        <w:jc w:val="center"/>
        <w:textAlignment w:val="auto"/>
        <w:outlineLvl w:val="9"/>
        <w:rPr>
          <w:rFonts w:hint="eastAsia" w:ascii="仿宋" w:hAnsi="仿宋" w:eastAsia="仿宋" w:cs="仿宋"/>
          <w:b/>
          <w:bCs/>
          <w:color w:val="auto"/>
          <w:sz w:val="48"/>
          <w:szCs w:val="32"/>
          <w:lang w:val="en-US" w:eastAsia="zh-CN"/>
        </w:rPr>
      </w:pPr>
      <w:bookmarkStart w:id="0" w:name="_Toc11591"/>
      <w:bookmarkStart w:id="1" w:name="_Toc10446"/>
      <w:r>
        <w:rPr>
          <w:rFonts w:hint="eastAsia" w:ascii="仿宋" w:hAnsi="仿宋" w:eastAsia="仿宋" w:cs="仿宋"/>
          <w:b/>
          <w:bCs/>
          <w:color w:val="auto"/>
          <w:sz w:val="48"/>
          <w:szCs w:val="32"/>
          <w:lang w:val="en-US" w:eastAsia="zh-CN"/>
        </w:rPr>
        <w:t>如皋城西片区一期桃源路东、广福路北（324# 、325# ）地块</w:t>
      </w:r>
    </w:p>
    <w:p>
      <w:pPr>
        <w:keepNext w:val="0"/>
        <w:keepLines w:val="0"/>
        <w:pageBreakBefore w:val="0"/>
        <w:widowControl w:val="0"/>
        <w:kinsoku/>
        <w:wordWrap/>
        <w:overflowPunct/>
        <w:topLinePunct w:val="0"/>
        <w:autoSpaceDE/>
        <w:autoSpaceDN/>
        <w:bidi w:val="0"/>
        <w:adjustRightInd/>
        <w:snapToGrid/>
        <w:spacing w:line="720" w:lineRule="auto"/>
        <w:ind w:firstLine="0" w:firstLineChars="0"/>
        <w:jc w:val="center"/>
        <w:textAlignment w:val="auto"/>
        <w:outlineLvl w:val="9"/>
        <w:rPr>
          <w:rFonts w:hint="eastAsia" w:ascii="仿宋" w:hAnsi="仿宋" w:eastAsia="仿宋" w:cs="仿宋"/>
          <w:b/>
          <w:bCs/>
          <w:color w:val="auto"/>
          <w:sz w:val="48"/>
          <w:szCs w:val="32"/>
          <w:lang w:val="en-US" w:eastAsia="zh-CN"/>
        </w:rPr>
      </w:pPr>
      <w:r>
        <w:rPr>
          <w:rFonts w:hint="eastAsia" w:ascii="仿宋" w:hAnsi="仿宋" w:eastAsia="仿宋" w:cs="仿宋"/>
          <w:b/>
          <w:bCs/>
          <w:color w:val="auto"/>
          <w:sz w:val="48"/>
          <w:szCs w:val="32"/>
          <w:lang w:val="en-US" w:eastAsia="zh-CN"/>
        </w:rPr>
        <w:t>土壤污染状况调查报告</w:t>
      </w:r>
      <w:bookmarkEnd w:id="0"/>
      <w:bookmarkEnd w:id="1"/>
    </w:p>
    <w:p>
      <w:pPr>
        <w:keepNext w:val="0"/>
        <w:keepLines w:val="0"/>
        <w:pageBreakBefore w:val="0"/>
        <w:widowControl w:val="0"/>
        <w:kinsoku/>
        <w:wordWrap/>
        <w:overflowPunct/>
        <w:topLinePunct w:val="0"/>
        <w:autoSpaceDE/>
        <w:autoSpaceDN/>
        <w:bidi w:val="0"/>
        <w:adjustRightInd/>
        <w:snapToGrid/>
        <w:spacing w:line="720" w:lineRule="auto"/>
        <w:ind w:firstLine="0" w:firstLineChars="0"/>
        <w:jc w:val="center"/>
        <w:textAlignment w:val="auto"/>
        <w:outlineLvl w:val="9"/>
        <w:rPr>
          <w:rFonts w:hint="eastAsia" w:ascii="仿宋" w:hAnsi="仿宋" w:eastAsia="仿宋" w:cs="仿宋"/>
          <w:b/>
          <w:bCs/>
          <w:color w:val="auto"/>
          <w:sz w:val="48"/>
          <w:szCs w:val="32"/>
          <w:lang w:val="en-US" w:eastAsia="zh-CN"/>
        </w:rPr>
      </w:pPr>
      <w:r>
        <w:rPr>
          <w:rFonts w:hint="eastAsia" w:ascii="仿宋" w:hAnsi="仿宋" w:eastAsia="仿宋" w:cs="仿宋"/>
          <w:b/>
          <w:bCs/>
          <w:color w:val="auto"/>
          <w:sz w:val="48"/>
          <w:szCs w:val="32"/>
          <w:lang w:val="en-US" w:eastAsia="zh-CN"/>
        </w:rPr>
        <w:t>（送审稿）</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outlineLvl w:val="9"/>
        <w:rPr>
          <w:rFonts w:hint="eastAsia" w:ascii="仿宋" w:hAnsi="仿宋" w:eastAsia="仿宋" w:cs="仿宋"/>
          <w:color w:val="auto"/>
          <w:lang w:val="en-US" w:eastAsia="zh-CN"/>
        </w:rPr>
      </w:pPr>
    </w:p>
    <w:p>
      <w:pPr>
        <w:pStyle w:val="14"/>
        <w:keepNext w:val="0"/>
        <w:keepLines w:val="0"/>
        <w:pageBreakBefore w:val="0"/>
        <w:widowControl w:val="0"/>
        <w:kinsoku/>
        <w:wordWrap/>
        <w:overflowPunct/>
        <w:topLinePunct w:val="0"/>
        <w:autoSpaceDE/>
        <w:autoSpaceDN/>
        <w:bidi w:val="0"/>
        <w:adjustRightInd/>
        <w:snapToGrid/>
        <w:spacing w:after="0" w:afterLines="0"/>
        <w:textAlignment w:val="auto"/>
        <w:outlineLvl w:val="9"/>
        <w:rPr>
          <w:rFonts w:hint="eastAsia" w:ascii="仿宋" w:hAnsi="仿宋" w:eastAsia="仿宋" w:cs="仿宋"/>
          <w:color w:val="auto"/>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outlineLvl w:val="9"/>
        <w:rPr>
          <w:rFonts w:hint="eastAsia" w:ascii="仿宋" w:hAnsi="仿宋" w:eastAsia="仿宋" w:cs="仿宋"/>
          <w:color w:val="auto"/>
          <w:lang w:val="en-US" w:eastAsia="zh-CN"/>
        </w:rPr>
      </w:pPr>
    </w:p>
    <w:p>
      <w:pPr>
        <w:pStyle w:val="13"/>
        <w:keepNext w:val="0"/>
        <w:keepLines w:val="0"/>
        <w:pageBreakBefore w:val="0"/>
        <w:widowControl w:val="0"/>
        <w:kinsoku/>
        <w:wordWrap/>
        <w:overflowPunct/>
        <w:topLinePunct w:val="0"/>
        <w:autoSpaceDE/>
        <w:autoSpaceDN/>
        <w:bidi w:val="0"/>
        <w:adjustRightInd/>
        <w:snapToGrid/>
        <w:spacing w:after="0" w:afterLines="0"/>
        <w:textAlignment w:val="auto"/>
        <w:rPr>
          <w:rFonts w:hint="eastAsia" w:ascii="仿宋" w:hAnsi="仿宋" w:eastAsia="仿宋" w:cs="仿宋"/>
          <w:color w:val="auto"/>
          <w:lang w:val="en-US" w:eastAsia="zh-CN"/>
        </w:rPr>
      </w:pPr>
    </w:p>
    <w:p>
      <w:pPr>
        <w:pStyle w:val="13"/>
        <w:keepNext w:val="0"/>
        <w:keepLines w:val="0"/>
        <w:pageBreakBefore w:val="0"/>
        <w:widowControl w:val="0"/>
        <w:kinsoku/>
        <w:wordWrap/>
        <w:overflowPunct/>
        <w:topLinePunct w:val="0"/>
        <w:autoSpaceDE/>
        <w:autoSpaceDN/>
        <w:bidi w:val="0"/>
        <w:adjustRightInd/>
        <w:snapToGrid/>
        <w:spacing w:after="0" w:afterLines="0"/>
        <w:textAlignment w:val="auto"/>
        <w:rPr>
          <w:rFonts w:hint="eastAsia" w:ascii="仿宋" w:hAnsi="仿宋" w:eastAsia="仿宋" w:cs="仿宋"/>
          <w:color w:val="auto"/>
          <w:lang w:val="en-US" w:eastAsia="zh-CN"/>
        </w:rPr>
      </w:pPr>
    </w:p>
    <w:p>
      <w:pPr>
        <w:pStyle w:val="13"/>
        <w:keepNext w:val="0"/>
        <w:keepLines w:val="0"/>
        <w:pageBreakBefore w:val="0"/>
        <w:widowControl w:val="0"/>
        <w:kinsoku/>
        <w:wordWrap/>
        <w:overflowPunct/>
        <w:topLinePunct w:val="0"/>
        <w:autoSpaceDE/>
        <w:autoSpaceDN/>
        <w:bidi w:val="0"/>
        <w:adjustRightInd/>
        <w:snapToGrid/>
        <w:spacing w:after="0" w:afterLines="0"/>
        <w:textAlignment w:val="auto"/>
        <w:rPr>
          <w:rFonts w:hint="eastAsia" w:ascii="仿宋" w:hAnsi="仿宋" w:eastAsia="仿宋" w:cs="仿宋"/>
          <w:color w:val="auto"/>
          <w:lang w:val="en-US" w:eastAsia="zh-CN"/>
        </w:rPr>
      </w:pPr>
    </w:p>
    <w:p>
      <w:pPr>
        <w:pStyle w:val="13"/>
        <w:keepNext w:val="0"/>
        <w:keepLines w:val="0"/>
        <w:pageBreakBefore w:val="0"/>
        <w:widowControl w:val="0"/>
        <w:kinsoku/>
        <w:wordWrap/>
        <w:overflowPunct/>
        <w:topLinePunct w:val="0"/>
        <w:autoSpaceDE/>
        <w:autoSpaceDN/>
        <w:bidi w:val="0"/>
        <w:adjustRightInd/>
        <w:snapToGrid/>
        <w:spacing w:after="0" w:afterLines="0"/>
        <w:textAlignment w:val="auto"/>
        <w:rPr>
          <w:rFonts w:hint="eastAsia" w:ascii="仿宋" w:hAnsi="仿宋" w:eastAsia="仿宋" w:cs="仿宋"/>
          <w:color w:val="auto"/>
          <w:lang w:val="en-US" w:eastAsia="zh-CN"/>
        </w:rPr>
      </w:pPr>
    </w:p>
    <w:p>
      <w:pPr>
        <w:pStyle w:val="13"/>
        <w:keepNext w:val="0"/>
        <w:keepLines w:val="0"/>
        <w:pageBreakBefore w:val="0"/>
        <w:widowControl w:val="0"/>
        <w:kinsoku/>
        <w:wordWrap/>
        <w:overflowPunct/>
        <w:topLinePunct w:val="0"/>
        <w:autoSpaceDE/>
        <w:autoSpaceDN/>
        <w:bidi w:val="0"/>
        <w:adjustRightInd/>
        <w:snapToGrid/>
        <w:spacing w:after="0" w:afterLines="0"/>
        <w:textAlignment w:val="auto"/>
        <w:rPr>
          <w:rFonts w:hint="eastAsia" w:ascii="仿宋" w:hAnsi="仿宋" w:eastAsia="仿宋" w:cs="仿宋"/>
          <w:color w:val="auto"/>
          <w:lang w:val="en-US" w:eastAsia="zh-CN"/>
        </w:rPr>
      </w:pPr>
    </w:p>
    <w:p>
      <w:pPr>
        <w:pStyle w:val="13"/>
        <w:keepNext w:val="0"/>
        <w:keepLines w:val="0"/>
        <w:pageBreakBefore w:val="0"/>
        <w:widowControl w:val="0"/>
        <w:kinsoku/>
        <w:wordWrap/>
        <w:overflowPunct/>
        <w:topLinePunct w:val="0"/>
        <w:autoSpaceDE/>
        <w:autoSpaceDN/>
        <w:bidi w:val="0"/>
        <w:adjustRightInd/>
        <w:snapToGrid/>
        <w:spacing w:after="0" w:afterLines="0"/>
        <w:textAlignment w:val="auto"/>
        <w:rPr>
          <w:rFonts w:hint="default" w:ascii="仿宋" w:hAnsi="仿宋" w:eastAsia="仿宋" w:cs="仿宋"/>
          <w:color w:val="auto"/>
          <w:lang w:val="en-US" w:eastAsia="zh-CN"/>
        </w:rPr>
      </w:pPr>
      <w:r>
        <w:rPr>
          <w:rFonts w:hint="eastAsia" w:ascii="仿宋" w:hAnsi="仿宋" w:eastAsia="仿宋" w:cs="仿宋"/>
          <w:color w:val="auto"/>
          <w:lang w:val="en-US" w:eastAsia="zh-CN"/>
        </w:rPr>
        <w:t xml:space="preserve"> </w:t>
      </w:r>
    </w:p>
    <w:p>
      <w:pPr>
        <w:pStyle w:val="13"/>
        <w:keepNext w:val="0"/>
        <w:keepLines w:val="0"/>
        <w:pageBreakBefore w:val="0"/>
        <w:widowControl w:val="0"/>
        <w:kinsoku/>
        <w:wordWrap/>
        <w:overflowPunct/>
        <w:topLinePunct w:val="0"/>
        <w:autoSpaceDE/>
        <w:autoSpaceDN/>
        <w:bidi w:val="0"/>
        <w:adjustRightInd/>
        <w:snapToGrid/>
        <w:spacing w:after="0" w:afterLines="0"/>
        <w:textAlignment w:val="auto"/>
        <w:rPr>
          <w:rFonts w:hint="eastAsia" w:ascii="仿宋" w:hAnsi="仿宋" w:eastAsia="仿宋" w:cs="仿宋"/>
          <w:color w:val="auto"/>
          <w:lang w:val="en-US" w:eastAsia="zh-CN"/>
        </w:rPr>
      </w:pPr>
    </w:p>
    <w:p>
      <w:pPr>
        <w:pStyle w:val="13"/>
        <w:keepNext w:val="0"/>
        <w:keepLines w:val="0"/>
        <w:pageBreakBefore w:val="0"/>
        <w:widowControl w:val="0"/>
        <w:kinsoku/>
        <w:wordWrap/>
        <w:overflowPunct/>
        <w:topLinePunct w:val="0"/>
        <w:autoSpaceDE/>
        <w:autoSpaceDN/>
        <w:bidi w:val="0"/>
        <w:adjustRightInd/>
        <w:snapToGrid/>
        <w:spacing w:after="0" w:afterLines="0"/>
        <w:textAlignment w:val="auto"/>
        <w:rPr>
          <w:rFonts w:hint="eastAsia" w:ascii="仿宋" w:hAnsi="仿宋" w:eastAsia="仿宋" w:cs="仿宋"/>
          <w:color w:val="auto"/>
          <w:lang w:val="en-US" w:eastAsia="zh-CN"/>
        </w:rPr>
      </w:pPr>
    </w:p>
    <w:p>
      <w:pPr>
        <w:pStyle w:val="13"/>
        <w:keepNext w:val="0"/>
        <w:keepLines w:val="0"/>
        <w:pageBreakBefore w:val="0"/>
        <w:widowControl w:val="0"/>
        <w:kinsoku/>
        <w:wordWrap/>
        <w:overflowPunct/>
        <w:topLinePunct w:val="0"/>
        <w:autoSpaceDE/>
        <w:autoSpaceDN/>
        <w:bidi w:val="0"/>
        <w:adjustRightInd/>
        <w:snapToGrid/>
        <w:spacing w:after="0" w:afterLines="0"/>
        <w:textAlignment w:val="auto"/>
        <w:rPr>
          <w:rFonts w:hint="eastAsia" w:ascii="仿宋" w:hAnsi="仿宋" w:eastAsia="仿宋" w:cs="仿宋"/>
          <w:color w:val="auto"/>
          <w:lang w:val="en-US" w:eastAsia="zh-CN"/>
        </w:rPr>
      </w:pPr>
    </w:p>
    <w:p>
      <w:pPr>
        <w:pStyle w:val="13"/>
        <w:keepNext w:val="0"/>
        <w:keepLines w:val="0"/>
        <w:pageBreakBefore w:val="0"/>
        <w:widowControl w:val="0"/>
        <w:kinsoku/>
        <w:wordWrap/>
        <w:overflowPunct/>
        <w:topLinePunct w:val="0"/>
        <w:autoSpaceDE/>
        <w:autoSpaceDN/>
        <w:bidi w:val="0"/>
        <w:adjustRightInd/>
        <w:snapToGrid/>
        <w:spacing w:after="0" w:afterLines="0"/>
        <w:textAlignment w:val="auto"/>
        <w:rPr>
          <w:rFonts w:hint="eastAsia" w:ascii="仿宋" w:hAnsi="仿宋" w:eastAsia="仿宋" w:cs="仿宋"/>
          <w:color w:val="auto"/>
          <w:lang w:val="en-US" w:eastAsia="zh-CN"/>
        </w:rPr>
      </w:pPr>
    </w:p>
    <w:p>
      <w:pPr>
        <w:pStyle w:val="13"/>
        <w:keepNext w:val="0"/>
        <w:keepLines w:val="0"/>
        <w:pageBreakBefore w:val="0"/>
        <w:widowControl w:val="0"/>
        <w:kinsoku/>
        <w:wordWrap/>
        <w:overflowPunct/>
        <w:topLinePunct w:val="0"/>
        <w:autoSpaceDE/>
        <w:autoSpaceDN/>
        <w:bidi w:val="0"/>
        <w:adjustRightInd/>
        <w:snapToGrid/>
        <w:spacing w:after="0" w:afterLines="0"/>
        <w:textAlignment w:val="auto"/>
        <w:rPr>
          <w:rFonts w:hint="eastAsia" w:ascii="仿宋" w:hAnsi="仿宋" w:eastAsia="仿宋" w:cs="仿宋"/>
          <w:color w:val="auto"/>
          <w:lang w:val="en-US" w:eastAsia="zh-CN"/>
        </w:rPr>
      </w:pPr>
    </w:p>
    <w:p>
      <w:pPr>
        <w:pStyle w:val="13"/>
        <w:keepNext w:val="0"/>
        <w:keepLines w:val="0"/>
        <w:pageBreakBefore w:val="0"/>
        <w:widowControl w:val="0"/>
        <w:kinsoku/>
        <w:wordWrap/>
        <w:overflowPunct/>
        <w:topLinePunct w:val="0"/>
        <w:autoSpaceDE/>
        <w:autoSpaceDN/>
        <w:bidi w:val="0"/>
        <w:adjustRightInd/>
        <w:snapToGrid/>
        <w:spacing w:after="0" w:afterLines="0"/>
        <w:textAlignment w:val="auto"/>
        <w:rPr>
          <w:rFonts w:hint="eastAsia" w:ascii="仿宋" w:hAnsi="仿宋" w:eastAsia="仿宋" w:cs="仿宋"/>
          <w:color w:val="auto"/>
          <w:lang w:val="en-US" w:eastAsia="zh-CN"/>
        </w:rPr>
      </w:pPr>
    </w:p>
    <w:p>
      <w:pPr>
        <w:pStyle w:val="13"/>
        <w:keepNext w:val="0"/>
        <w:keepLines w:val="0"/>
        <w:pageBreakBefore w:val="0"/>
        <w:widowControl w:val="0"/>
        <w:kinsoku/>
        <w:wordWrap/>
        <w:overflowPunct/>
        <w:topLinePunct w:val="0"/>
        <w:autoSpaceDE/>
        <w:autoSpaceDN/>
        <w:bidi w:val="0"/>
        <w:adjustRightInd/>
        <w:snapToGrid/>
        <w:spacing w:after="0" w:afterLines="0"/>
        <w:ind w:firstLine="0" w:firstLineChars="0"/>
        <w:textAlignment w:val="auto"/>
        <w:outlineLvl w:val="9"/>
        <w:rPr>
          <w:rFonts w:hint="eastAsia" w:ascii="仿宋" w:hAnsi="仿宋" w:eastAsia="仿宋" w:cs="仿宋"/>
          <w:color w:val="auto"/>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outlineLvl w:val="9"/>
        <w:rPr>
          <w:rFonts w:hint="eastAsia" w:ascii="仿宋" w:hAnsi="仿宋" w:eastAsia="仿宋" w:cs="仿宋"/>
          <w:b/>
          <w:bCs/>
          <w:color w:val="auto"/>
          <w:sz w:val="30"/>
          <w:szCs w:val="30"/>
          <w:lang w:val="en-US" w:eastAsia="zh-CN"/>
        </w:rPr>
      </w:pPr>
      <w:bookmarkStart w:id="2" w:name="_Toc3447"/>
      <w:bookmarkStart w:id="3" w:name="_Toc18254"/>
      <w:r>
        <w:rPr>
          <w:rFonts w:hint="eastAsia" w:ascii="仿宋" w:hAnsi="仿宋" w:eastAsia="仿宋" w:cs="仿宋"/>
          <w:b/>
          <w:bCs/>
          <w:color w:val="auto"/>
          <w:sz w:val="30"/>
          <w:szCs w:val="30"/>
          <w:lang w:val="en-US" w:eastAsia="zh-CN"/>
        </w:rPr>
        <w:t>委托单位：</w:t>
      </w:r>
      <w:bookmarkEnd w:id="2"/>
      <w:bookmarkEnd w:id="3"/>
      <w:r>
        <w:rPr>
          <w:rFonts w:hint="eastAsia" w:ascii="仿宋" w:hAnsi="仿宋" w:eastAsia="仿宋" w:cs="仿宋"/>
          <w:b/>
          <w:bCs/>
          <w:color w:val="auto"/>
          <w:sz w:val="30"/>
          <w:szCs w:val="30"/>
          <w:lang w:val="en-US" w:eastAsia="zh-CN"/>
        </w:rPr>
        <w:t>如皋市西片区综合开发有限公司</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outlineLvl w:val="9"/>
        <w:rPr>
          <w:rFonts w:hint="eastAsia" w:ascii="仿宋" w:hAnsi="仿宋" w:eastAsia="仿宋" w:cs="仿宋"/>
          <w:b/>
          <w:bCs/>
          <w:color w:val="auto"/>
          <w:sz w:val="30"/>
          <w:szCs w:val="30"/>
          <w:lang w:val="en-US" w:eastAsia="zh-CN"/>
        </w:rPr>
      </w:pPr>
      <w:bookmarkStart w:id="4" w:name="_Toc14118"/>
      <w:bookmarkStart w:id="5" w:name="_Toc20163"/>
      <w:r>
        <w:rPr>
          <w:rFonts w:hint="eastAsia" w:ascii="仿宋" w:hAnsi="仿宋" w:eastAsia="仿宋" w:cs="仿宋"/>
          <w:b/>
          <w:bCs/>
          <w:color w:val="auto"/>
          <w:sz w:val="30"/>
          <w:szCs w:val="30"/>
          <w:lang w:val="en-US" w:eastAsia="zh-CN"/>
        </w:rPr>
        <w:t>报告出具单位：江苏标普检测科技有限公司</w:t>
      </w:r>
      <w:bookmarkEnd w:id="4"/>
      <w:bookmarkEnd w:id="5"/>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outlineLvl w:val="9"/>
        <w:rPr>
          <w:rFonts w:hint="eastAsia" w:ascii="仿宋" w:hAnsi="仿宋" w:eastAsia="仿宋" w:cs="仿宋"/>
          <w:b/>
          <w:bCs/>
          <w:color w:val="auto"/>
          <w:sz w:val="30"/>
          <w:szCs w:val="30"/>
          <w:lang w:val="en-US" w:eastAsia="zh-CN"/>
        </w:rPr>
        <w:sectPr>
          <w:headerReference r:id="rId5" w:type="default"/>
          <w:pgSz w:w="11906" w:h="16838"/>
          <w:pgMar w:top="1803" w:right="1440" w:bottom="1803" w:left="1440" w:header="851" w:footer="992" w:gutter="0"/>
          <w:pgBorders>
            <w:top w:val="none" w:sz="0" w:space="0"/>
            <w:left w:val="none" w:sz="0" w:space="0"/>
            <w:bottom w:val="none" w:sz="0" w:space="0"/>
            <w:right w:val="none" w:sz="0" w:space="0"/>
          </w:pgBorders>
          <w:cols w:space="720" w:num="1"/>
          <w:docGrid w:type="lines" w:linePitch="312" w:charSpace="0"/>
        </w:sectPr>
      </w:pPr>
      <w:r>
        <w:rPr>
          <w:rFonts w:hint="eastAsia" w:ascii="仿宋" w:hAnsi="仿宋" w:eastAsia="仿宋" w:cs="仿宋"/>
          <w:b/>
          <w:bCs/>
          <w:color w:val="auto"/>
          <w:sz w:val="30"/>
          <w:szCs w:val="30"/>
          <w:lang w:val="en-US" w:eastAsia="zh-CN"/>
        </w:rPr>
        <w:t>2024年7月</w:t>
      </w:r>
    </w:p>
    <w:p>
      <w:pPr>
        <w:pStyle w:val="5"/>
        <w:rPr>
          <w:rFonts w:hint="eastAsia" w:ascii="仿宋" w:hAnsi="仿宋" w:eastAsia="仿宋" w:cs="仿宋"/>
          <w:color w:val="auto"/>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pPr>
        <w:pStyle w:val="18"/>
        <w:jc w:val="center"/>
        <w:rPr>
          <w:rFonts w:hint="eastAsia" w:ascii="仿宋" w:hAnsi="仿宋" w:eastAsia="仿宋" w:cs="仿宋"/>
          <w:color w:val="auto"/>
        </w:rPr>
      </w:pPr>
      <w:r>
        <w:rPr>
          <w:rFonts w:hint="eastAsia" w:ascii="仿宋" w:hAnsi="仿宋" w:eastAsia="仿宋" w:cs="仿宋"/>
          <w:color w:val="auto"/>
        </w:rPr>
        <w:drawing>
          <wp:inline distT="0" distB="0" distL="114300" distR="114300">
            <wp:extent cx="4711700" cy="3338195"/>
            <wp:effectExtent l="0" t="0" r="12700" b="1460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5"/>
                    <a:stretch>
                      <a:fillRect/>
                    </a:stretch>
                  </pic:blipFill>
                  <pic:spPr>
                    <a:xfrm>
                      <a:off x="0" y="0"/>
                      <a:ext cx="4711700" cy="3338195"/>
                    </a:xfrm>
                    <a:prstGeom prst="rect">
                      <a:avLst/>
                    </a:prstGeom>
                    <a:noFill/>
                    <a:ln>
                      <a:noFill/>
                    </a:ln>
                  </pic:spPr>
                </pic:pic>
              </a:graphicData>
            </a:graphic>
          </wp:inline>
        </w:drawing>
      </w:r>
    </w:p>
    <w:p>
      <w:pPr>
        <w:pStyle w:val="18"/>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default"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kern w:val="2"/>
          <w:sz w:val="24"/>
          <w:szCs w:val="24"/>
          <w:vertAlign w:val="baseline"/>
          <w:lang w:val="en-US" w:eastAsia="zh-CN" w:bidi="ar-SA"/>
        </w:rPr>
        <w:t>项目名称：如皋城西片区一期桃源路东、广福路北（324# 、325# ）地块土壤污染状况调查</w:t>
      </w:r>
    </w:p>
    <w:p>
      <w:pPr>
        <w:pStyle w:val="18"/>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kern w:val="2"/>
          <w:sz w:val="24"/>
          <w:szCs w:val="24"/>
          <w:vertAlign w:val="baseline"/>
          <w:lang w:val="en-US" w:eastAsia="zh-CN" w:bidi="ar-SA"/>
        </w:rPr>
        <w:t>委托单位：如皋市西片区综合开发有限公司</w:t>
      </w:r>
    </w:p>
    <w:p>
      <w:pPr>
        <w:pStyle w:val="18"/>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kern w:val="2"/>
          <w:sz w:val="24"/>
          <w:szCs w:val="24"/>
          <w:vertAlign w:val="baseline"/>
          <w:lang w:val="en-US" w:eastAsia="zh-CN" w:bidi="ar-SA"/>
        </w:rPr>
        <w:t>报告出具单位：江苏标普检测科技有限公司</w:t>
      </w:r>
    </w:p>
    <w:p>
      <w:pPr>
        <w:pStyle w:val="18"/>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kern w:val="2"/>
          <w:sz w:val="24"/>
          <w:szCs w:val="24"/>
          <w:vertAlign w:val="baseline"/>
          <w:lang w:val="en-US" w:eastAsia="zh-CN" w:bidi="ar-SA"/>
        </w:rPr>
        <w:t>钻探单位：中煤长江生态环境科技有限公司</w:t>
      </w:r>
    </w:p>
    <w:p>
      <w:pPr>
        <w:pStyle w:val="18"/>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仿宋" w:hAnsi="仿宋" w:eastAsia="仿宋" w:cs="仿宋"/>
          <w:color w:val="auto"/>
        </w:rPr>
      </w:pPr>
      <w:r>
        <w:rPr>
          <w:rFonts w:hint="eastAsia" w:ascii="仿宋" w:hAnsi="仿宋" w:eastAsia="仿宋" w:cs="仿宋"/>
          <w:b w:val="0"/>
          <w:bCs/>
          <w:color w:val="auto"/>
          <w:kern w:val="2"/>
          <w:sz w:val="24"/>
          <w:szCs w:val="24"/>
          <w:vertAlign w:val="baseline"/>
          <w:lang w:val="en-US" w:eastAsia="zh-CN" w:bidi="ar-SA"/>
        </w:rPr>
        <w:t>检测单位：江苏光质检测科技有限公司</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21"/>
        <w:gridCol w:w="965"/>
        <w:gridCol w:w="1248"/>
        <w:gridCol w:w="1427"/>
        <w:gridCol w:w="2400"/>
        <w:gridCol w:w="1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00" w:type="pct"/>
            <w:gridSpan w:val="6"/>
            <w:noWrap w:val="0"/>
            <w:vAlign w:val="center"/>
          </w:tcPr>
          <w:p>
            <w:pPr>
              <w:keepNext w:val="0"/>
              <w:keepLines w:val="0"/>
              <w:pageBreakBefore w:val="0"/>
              <w:widowControl w:val="0"/>
              <w:tabs>
                <w:tab w:val="center" w:pos="4213"/>
                <w:tab w:val="left" w:pos="4983"/>
              </w:tabs>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sz w:val="24"/>
                <w:szCs w:val="24"/>
              </w:rPr>
            </w:pPr>
            <w:r>
              <w:rPr>
                <w:rFonts w:hint="eastAsia" w:ascii="仿宋" w:hAnsi="仿宋" w:eastAsia="仿宋" w:cs="仿宋"/>
                <w:color w:val="auto"/>
                <w:lang w:val="en-US" w:eastAsia="zh-CN"/>
              </w:rPr>
              <w:t>人员信息表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17" w:type="pct"/>
            <w:noWrap w:val="0"/>
            <w:vAlign w:val="center"/>
          </w:tcPr>
          <w:p>
            <w:pPr>
              <w:pStyle w:val="1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职责</w:t>
            </w:r>
          </w:p>
        </w:tc>
        <w:tc>
          <w:tcPr>
            <w:tcW w:w="566" w:type="pct"/>
            <w:noWrap w:val="0"/>
            <w:vAlign w:val="center"/>
          </w:tcPr>
          <w:p>
            <w:pPr>
              <w:pStyle w:val="1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人员</w:t>
            </w:r>
          </w:p>
        </w:tc>
        <w:tc>
          <w:tcPr>
            <w:tcW w:w="732" w:type="pct"/>
            <w:noWrap w:val="0"/>
            <w:vAlign w:val="center"/>
          </w:tcPr>
          <w:p>
            <w:pPr>
              <w:pStyle w:val="1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专业</w:t>
            </w:r>
          </w:p>
        </w:tc>
        <w:tc>
          <w:tcPr>
            <w:tcW w:w="837" w:type="pct"/>
            <w:noWrap w:val="0"/>
            <w:vAlign w:val="center"/>
          </w:tcPr>
          <w:p>
            <w:pPr>
              <w:pStyle w:val="1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职称</w:t>
            </w:r>
          </w:p>
        </w:tc>
        <w:tc>
          <w:tcPr>
            <w:tcW w:w="1408" w:type="pct"/>
            <w:noWrap w:val="0"/>
            <w:vAlign w:val="center"/>
          </w:tcPr>
          <w:p>
            <w:pPr>
              <w:pStyle w:val="1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身份证号及联系电话</w:t>
            </w:r>
          </w:p>
        </w:tc>
        <w:tc>
          <w:tcPr>
            <w:tcW w:w="738" w:type="pct"/>
            <w:noWrap w:val="0"/>
            <w:vAlign w:val="center"/>
          </w:tcPr>
          <w:p>
            <w:pPr>
              <w:pStyle w:val="1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17" w:type="pct"/>
            <w:noWrap w:val="0"/>
            <w:vAlign w:val="center"/>
          </w:tcPr>
          <w:p>
            <w:pPr>
              <w:pStyle w:val="1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项目负责</w:t>
            </w:r>
          </w:p>
        </w:tc>
        <w:tc>
          <w:tcPr>
            <w:tcW w:w="566" w:type="pct"/>
            <w:noWrap w:val="0"/>
            <w:vAlign w:val="center"/>
          </w:tcPr>
          <w:p>
            <w:pPr>
              <w:pStyle w:val="1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sz w:val="24"/>
                <w:szCs w:val="24"/>
                <w:vertAlign w:val="baseline"/>
                <w:lang w:val="en-US" w:eastAsia="zh-CN"/>
              </w:rPr>
              <w:t>沈琪</w:t>
            </w:r>
          </w:p>
        </w:tc>
        <w:tc>
          <w:tcPr>
            <w:tcW w:w="732" w:type="pct"/>
            <w:noWrap w:val="0"/>
            <w:vAlign w:val="center"/>
          </w:tcPr>
          <w:p>
            <w:pPr>
              <w:pStyle w:val="1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sz w:val="24"/>
                <w:szCs w:val="24"/>
                <w:vertAlign w:val="baseline"/>
                <w:lang w:val="en-US" w:eastAsia="zh-CN"/>
              </w:rPr>
              <w:t>环境科学</w:t>
            </w:r>
          </w:p>
        </w:tc>
        <w:tc>
          <w:tcPr>
            <w:tcW w:w="837" w:type="pct"/>
            <w:noWrap w:val="0"/>
            <w:vAlign w:val="center"/>
          </w:tcPr>
          <w:p>
            <w:pPr>
              <w:pStyle w:val="1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sz w:val="24"/>
                <w:szCs w:val="24"/>
                <w:vertAlign w:val="baseline"/>
                <w:lang w:val="en-US" w:eastAsia="zh-CN"/>
              </w:rPr>
              <w:t>工程师</w:t>
            </w:r>
          </w:p>
        </w:tc>
        <w:tc>
          <w:tcPr>
            <w:tcW w:w="1408" w:type="pct"/>
            <w:noWrap w:val="0"/>
            <w:vAlign w:val="center"/>
          </w:tcPr>
          <w:p>
            <w:pPr>
              <w:pStyle w:val="1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320602199310031023</w:t>
            </w:r>
          </w:p>
          <w:p>
            <w:pPr>
              <w:pStyle w:val="1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18206293006</w:t>
            </w:r>
          </w:p>
        </w:tc>
        <w:tc>
          <w:tcPr>
            <w:tcW w:w="738" w:type="pct"/>
            <w:noWrap w:val="0"/>
            <w:vAlign w:val="center"/>
          </w:tcPr>
          <w:p>
            <w:pPr>
              <w:pStyle w:val="1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17" w:type="pct"/>
            <w:noWrap w:val="0"/>
            <w:vAlign w:val="center"/>
          </w:tcPr>
          <w:p>
            <w:pPr>
              <w:pStyle w:val="1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现场踏勘</w:t>
            </w:r>
          </w:p>
        </w:tc>
        <w:tc>
          <w:tcPr>
            <w:tcW w:w="566" w:type="pct"/>
            <w:noWrap w:val="0"/>
            <w:vAlign w:val="center"/>
          </w:tcPr>
          <w:p>
            <w:pPr>
              <w:pStyle w:val="1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kern w:val="2"/>
                <w:sz w:val="24"/>
                <w:szCs w:val="24"/>
                <w:vertAlign w:val="baseline"/>
                <w:lang w:val="en-US" w:eastAsia="zh-CN" w:bidi="ar-SA"/>
              </w:rPr>
              <w:t>顾建亚</w:t>
            </w:r>
          </w:p>
        </w:tc>
        <w:tc>
          <w:tcPr>
            <w:tcW w:w="732" w:type="pct"/>
            <w:noWrap w:val="0"/>
            <w:vAlign w:val="center"/>
          </w:tcPr>
          <w:p>
            <w:pPr>
              <w:pStyle w:val="1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kern w:val="2"/>
                <w:sz w:val="24"/>
                <w:szCs w:val="24"/>
                <w:vertAlign w:val="baseline"/>
                <w:lang w:val="en-US" w:eastAsia="zh-CN" w:bidi="ar-SA"/>
              </w:rPr>
              <w:t>环境工程</w:t>
            </w:r>
          </w:p>
        </w:tc>
        <w:tc>
          <w:tcPr>
            <w:tcW w:w="837" w:type="pct"/>
            <w:noWrap w:val="0"/>
            <w:vAlign w:val="center"/>
          </w:tcPr>
          <w:p>
            <w:pPr>
              <w:pStyle w:val="1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kern w:val="2"/>
                <w:sz w:val="24"/>
                <w:szCs w:val="24"/>
                <w:vertAlign w:val="baseline"/>
                <w:lang w:val="en-US" w:eastAsia="zh-CN" w:bidi="ar-SA"/>
              </w:rPr>
              <w:t>助理工程师</w:t>
            </w:r>
          </w:p>
        </w:tc>
        <w:tc>
          <w:tcPr>
            <w:tcW w:w="1408" w:type="pct"/>
            <w:noWrap w:val="0"/>
            <w:vAlign w:val="center"/>
          </w:tcPr>
          <w:p>
            <w:pPr>
              <w:pStyle w:val="1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320683199408273010</w:t>
            </w:r>
          </w:p>
          <w:p>
            <w:pPr>
              <w:pStyle w:val="1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19555031446</w:t>
            </w:r>
          </w:p>
        </w:tc>
        <w:tc>
          <w:tcPr>
            <w:tcW w:w="738" w:type="pct"/>
            <w:noWrap w:val="0"/>
            <w:vAlign w:val="center"/>
          </w:tcPr>
          <w:p>
            <w:pPr>
              <w:pStyle w:val="1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17" w:type="pct"/>
            <w:vMerge w:val="restart"/>
            <w:noWrap w:val="0"/>
            <w:vAlign w:val="center"/>
          </w:tcPr>
          <w:p>
            <w:pPr>
              <w:pStyle w:val="1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数据分析</w:t>
            </w:r>
          </w:p>
          <w:p>
            <w:pPr>
              <w:pStyle w:val="1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报告编制</w:t>
            </w:r>
          </w:p>
        </w:tc>
        <w:tc>
          <w:tcPr>
            <w:tcW w:w="566" w:type="pct"/>
            <w:noWrap w:val="0"/>
            <w:vAlign w:val="center"/>
          </w:tcPr>
          <w:p>
            <w:pPr>
              <w:pStyle w:val="1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sz w:val="24"/>
                <w:szCs w:val="24"/>
                <w:vertAlign w:val="baseline"/>
                <w:lang w:val="en-US" w:eastAsia="zh-CN"/>
              </w:rPr>
              <w:t>陆天悦</w:t>
            </w:r>
          </w:p>
        </w:tc>
        <w:tc>
          <w:tcPr>
            <w:tcW w:w="732" w:type="pct"/>
            <w:noWrap w:val="0"/>
            <w:vAlign w:val="center"/>
          </w:tcPr>
          <w:p>
            <w:pPr>
              <w:pStyle w:val="1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kern w:val="2"/>
                <w:sz w:val="24"/>
                <w:szCs w:val="24"/>
                <w:vertAlign w:val="baseline"/>
                <w:lang w:val="en-US" w:eastAsia="zh-CN" w:bidi="ar-SA"/>
              </w:rPr>
              <w:t>环境工程</w:t>
            </w:r>
          </w:p>
        </w:tc>
        <w:tc>
          <w:tcPr>
            <w:tcW w:w="837" w:type="pct"/>
            <w:noWrap w:val="0"/>
            <w:vAlign w:val="center"/>
          </w:tcPr>
          <w:p>
            <w:pPr>
              <w:pStyle w:val="1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kern w:val="2"/>
                <w:sz w:val="24"/>
                <w:szCs w:val="24"/>
                <w:vertAlign w:val="baseline"/>
                <w:lang w:val="en-US" w:eastAsia="zh-CN" w:bidi="ar-SA"/>
              </w:rPr>
              <w:t>助理工程师</w:t>
            </w:r>
          </w:p>
        </w:tc>
        <w:tc>
          <w:tcPr>
            <w:tcW w:w="1408" w:type="pct"/>
            <w:noWrap w:val="0"/>
            <w:vAlign w:val="center"/>
          </w:tcPr>
          <w:p>
            <w:pPr>
              <w:pStyle w:val="1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320611200011251829</w:t>
            </w:r>
          </w:p>
          <w:p>
            <w:pPr>
              <w:pStyle w:val="1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sz w:val="24"/>
                <w:szCs w:val="24"/>
                <w:vertAlign w:val="baseline"/>
                <w:lang w:val="en-US" w:eastAsia="zh-CN"/>
              </w:rPr>
              <w:t>18862934712</w:t>
            </w:r>
          </w:p>
        </w:tc>
        <w:tc>
          <w:tcPr>
            <w:tcW w:w="738" w:type="pct"/>
            <w:noWrap w:val="0"/>
            <w:vAlign w:val="center"/>
          </w:tcPr>
          <w:p>
            <w:pPr>
              <w:pStyle w:val="1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17" w:type="pct"/>
            <w:vMerge w:val="continue"/>
            <w:noWrap w:val="0"/>
            <w:vAlign w:val="center"/>
          </w:tcPr>
          <w:p>
            <w:pPr>
              <w:pStyle w:val="1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sz w:val="24"/>
                <w:szCs w:val="24"/>
                <w:vertAlign w:val="baseline"/>
                <w:lang w:val="en-US" w:eastAsia="zh-CN"/>
              </w:rPr>
            </w:pPr>
          </w:p>
        </w:tc>
        <w:tc>
          <w:tcPr>
            <w:tcW w:w="566" w:type="pct"/>
            <w:noWrap w:val="0"/>
            <w:vAlign w:val="center"/>
          </w:tcPr>
          <w:p>
            <w:pPr>
              <w:pStyle w:val="1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kern w:val="2"/>
                <w:sz w:val="24"/>
                <w:szCs w:val="24"/>
                <w:vertAlign w:val="baseline"/>
                <w:lang w:val="en-US" w:eastAsia="zh-CN" w:bidi="ar-SA"/>
              </w:rPr>
              <w:t>顾建亚</w:t>
            </w:r>
          </w:p>
        </w:tc>
        <w:tc>
          <w:tcPr>
            <w:tcW w:w="732" w:type="pct"/>
            <w:noWrap w:val="0"/>
            <w:vAlign w:val="center"/>
          </w:tcPr>
          <w:p>
            <w:pPr>
              <w:pStyle w:val="1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kern w:val="2"/>
                <w:sz w:val="24"/>
                <w:szCs w:val="24"/>
                <w:vertAlign w:val="baseline"/>
                <w:lang w:val="en-US" w:eastAsia="zh-CN" w:bidi="ar-SA"/>
              </w:rPr>
              <w:t>环境工程</w:t>
            </w:r>
          </w:p>
        </w:tc>
        <w:tc>
          <w:tcPr>
            <w:tcW w:w="837" w:type="pct"/>
            <w:noWrap w:val="0"/>
            <w:vAlign w:val="center"/>
          </w:tcPr>
          <w:p>
            <w:pPr>
              <w:pStyle w:val="1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kern w:val="2"/>
                <w:sz w:val="24"/>
                <w:szCs w:val="24"/>
                <w:vertAlign w:val="baseline"/>
                <w:lang w:val="en-US" w:eastAsia="zh-CN" w:bidi="ar-SA"/>
              </w:rPr>
              <w:t>助理工程师</w:t>
            </w:r>
          </w:p>
        </w:tc>
        <w:tc>
          <w:tcPr>
            <w:tcW w:w="1408" w:type="pct"/>
            <w:noWrap w:val="0"/>
            <w:vAlign w:val="center"/>
          </w:tcPr>
          <w:p>
            <w:pPr>
              <w:pStyle w:val="1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320683199408273010</w:t>
            </w:r>
          </w:p>
          <w:p>
            <w:pPr>
              <w:pStyle w:val="1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sz w:val="24"/>
                <w:szCs w:val="24"/>
                <w:vertAlign w:val="baseline"/>
                <w:lang w:val="en-US" w:eastAsia="zh-CN"/>
              </w:rPr>
              <w:t>19555031446</w:t>
            </w:r>
          </w:p>
        </w:tc>
        <w:tc>
          <w:tcPr>
            <w:tcW w:w="738" w:type="pct"/>
            <w:noWrap w:val="0"/>
            <w:vAlign w:val="center"/>
          </w:tcPr>
          <w:p>
            <w:pPr>
              <w:pStyle w:val="1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17" w:type="pct"/>
            <w:vMerge w:val="continue"/>
            <w:noWrap w:val="0"/>
            <w:vAlign w:val="center"/>
          </w:tcPr>
          <w:p>
            <w:pPr>
              <w:pStyle w:val="1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sz w:val="24"/>
                <w:szCs w:val="24"/>
                <w:vertAlign w:val="baseline"/>
                <w:lang w:val="en-US" w:eastAsia="zh-CN"/>
              </w:rPr>
            </w:pPr>
          </w:p>
        </w:tc>
        <w:tc>
          <w:tcPr>
            <w:tcW w:w="566" w:type="pct"/>
            <w:noWrap w:val="0"/>
            <w:vAlign w:val="center"/>
          </w:tcPr>
          <w:p>
            <w:pPr>
              <w:pStyle w:val="1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kern w:val="2"/>
                <w:sz w:val="24"/>
                <w:szCs w:val="24"/>
                <w:vertAlign w:val="baseline"/>
                <w:lang w:val="en-US" w:eastAsia="zh-CN" w:bidi="ar-SA"/>
              </w:rPr>
              <w:t>黄敏霞</w:t>
            </w:r>
          </w:p>
        </w:tc>
        <w:tc>
          <w:tcPr>
            <w:tcW w:w="732" w:type="pct"/>
            <w:noWrap w:val="0"/>
            <w:vAlign w:val="center"/>
          </w:tcPr>
          <w:p>
            <w:pPr>
              <w:pStyle w:val="1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kern w:val="2"/>
                <w:sz w:val="24"/>
                <w:szCs w:val="24"/>
                <w:vertAlign w:val="baseline"/>
                <w:lang w:val="en-US" w:eastAsia="zh-CN" w:bidi="ar-SA"/>
              </w:rPr>
              <w:t>环境科学</w:t>
            </w:r>
          </w:p>
        </w:tc>
        <w:tc>
          <w:tcPr>
            <w:tcW w:w="837" w:type="pct"/>
            <w:noWrap w:val="0"/>
            <w:vAlign w:val="center"/>
          </w:tcPr>
          <w:p>
            <w:pPr>
              <w:pStyle w:val="1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kern w:val="2"/>
                <w:sz w:val="24"/>
                <w:szCs w:val="24"/>
                <w:vertAlign w:val="baseline"/>
                <w:lang w:val="en-US" w:eastAsia="zh-CN" w:bidi="ar-SA"/>
              </w:rPr>
              <w:t>助理工程师</w:t>
            </w:r>
          </w:p>
        </w:tc>
        <w:tc>
          <w:tcPr>
            <w:tcW w:w="1408" w:type="pct"/>
            <w:noWrap w:val="0"/>
            <w:vAlign w:val="center"/>
          </w:tcPr>
          <w:p>
            <w:pPr>
              <w:pStyle w:val="1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kern w:val="2"/>
                <w:sz w:val="24"/>
                <w:szCs w:val="24"/>
                <w:vertAlign w:val="baseline"/>
                <w:lang w:val="en-US" w:eastAsia="zh-CN" w:bidi="ar-SA"/>
              </w:rPr>
              <w:t>320684199901120866</w:t>
            </w:r>
          </w:p>
          <w:p>
            <w:pPr>
              <w:pStyle w:val="1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kern w:val="2"/>
                <w:sz w:val="24"/>
                <w:szCs w:val="24"/>
                <w:vertAlign w:val="baseline"/>
                <w:lang w:val="en-US" w:eastAsia="zh-CN" w:bidi="ar-SA"/>
              </w:rPr>
              <w:t>19802585182</w:t>
            </w:r>
          </w:p>
        </w:tc>
        <w:tc>
          <w:tcPr>
            <w:tcW w:w="738" w:type="pct"/>
            <w:noWrap w:val="0"/>
            <w:vAlign w:val="center"/>
          </w:tcPr>
          <w:p>
            <w:pPr>
              <w:pStyle w:val="1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17" w:type="pct"/>
            <w:noWrap w:val="0"/>
            <w:vAlign w:val="center"/>
          </w:tcPr>
          <w:p>
            <w:pPr>
              <w:pStyle w:val="1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报告复核</w:t>
            </w:r>
          </w:p>
        </w:tc>
        <w:tc>
          <w:tcPr>
            <w:tcW w:w="566" w:type="pct"/>
            <w:noWrap w:val="0"/>
            <w:vAlign w:val="center"/>
          </w:tcPr>
          <w:p>
            <w:pPr>
              <w:pStyle w:val="1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沈琪</w:t>
            </w:r>
          </w:p>
        </w:tc>
        <w:tc>
          <w:tcPr>
            <w:tcW w:w="732" w:type="pct"/>
            <w:noWrap w:val="0"/>
            <w:vAlign w:val="center"/>
          </w:tcPr>
          <w:p>
            <w:pPr>
              <w:pStyle w:val="1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环境科学</w:t>
            </w:r>
          </w:p>
        </w:tc>
        <w:tc>
          <w:tcPr>
            <w:tcW w:w="837" w:type="pct"/>
            <w:noWrap w:val="0"/>
            <w:vAlign w:val="center"/>
          </w:tcPr>
          <w:p>
            <w:pPr>
              <w:pStyle w:val="1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工程师</w:t>
            </w:r>
          </w:p>
        </w:tc>
        <w:tc>
          <w:tcPr>
            <w:tcW w:w="1408" w:type="pct"/>
            <w:noWrap w:val="0"/>
            <w:vAlign w:val="center"/>
          </w:tcPr>
          <w:p>
            <w:pPr>
              <w:pStyle w:val="1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320602199310031023</w:t>
            </w:r>
          </w:p>
          <w:p>
            <w:pPr>
              <w:pStyle w:val="1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18206293006</w:t>
            </w:r>
          </w:p>
        </w:tc>
        <w:tc>
          <w:tcPr>
            <w:tcW w:w="738" w:type="pct"/>
            <w:noWrap w:val="0"/>
            <w:vAlign w:val="center"/>
          </w:tcPr>
          <w:p>
            <w:pPr>
              <w:pStyle w:val="1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17" w:type="pct"/>
            <w:noWrap w:val="0"/>
            <w:vAlign w:val="center"/>
          </w:tcPr>
          <w:p>
            <w:pPr>
              <w:pStyle w:val="1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报告审核</w:t>
            </w:r>
          </w:p>
        </w:tc>
        <w:tc>
          <w:tcPr>
            <w:tcW w:w="566" w:type="pct"/>
            <w:noWrap w:val="0"/>
            <w:vAlign w:val="center"/>
          </w:tcPr>
          <w:p>
            <w:pPr>
              <w:pStyle w:val="1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徐俊</w:t>
            </w:r>
          </w:p>
        </w:tc>
        <w:tc>
          <w:tcPr>
            <w:tcW w:w="732" w:type="pct"/>
            <w:noWrap w:val="0"/>
            <w:vAlign w:val="center"/>
          </w:tcPr>
          <w:p>
            <w:pPr>
              <w:pStyle w:val="1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环境工程</w:t>
            </w:r>
          </w:p>
        </w:tc>
        <w:tc>
          <w:tcPr>
            <w:tcW w:w="837" w:type="pct"/>
            <w:noWrap w:val="0"/>
            <w:vAlign w:val="center"/>
          </w:tcPr>
          <w:p>
            <w:pPr>
              <w:pStyle w:val="1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研究员级高级工程师</w:t>
            </w:r>
          </w:p>
        </w:tc>
        <w:tc>
          <w:tcPr>
            <w:tcW w:w="1408" w:type="pct"/>
            <w:noWrap w:val="0"/>
            <w:vAlign w:val="center"/>
          </w:tcPr>
          <w:p>
            <w:pPr>
              <w:pStyle w:val="1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320622197312170197</w:t>
            </w:r>
          </w:p>
          <w:p>
            <w:pPr>
              <w:pStyle w:val="1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13862734560</w:t>
            </w:r>
          </w:p>
        </w:tc>
        <w:tc>
          <w:tcPr>
            <w:tcW w:w="738" w:type="pct"/>
            <w:noWrap w:val="0"/>
            <w:vAlign w:val="center"/>
          </w:tcPr>
          <w:p>
            <w:pPr>
              <w:pStyle w:val="1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sz w:val="24"/>
                <w:szCs w:val="24"/>
                <w:vertAlign w:val="baseline"/>
              </w:rPr>
            </w:pPr>
          </w:p>
        </w:tc>
      </w:tr>
    </w:tbl>
    <w:p>
      <w:pPr>
        <w:pStyle w:val="2"/>
        <w:rPr>
          <w:rFonts w:hint="eastAsia"/>
          <w:color w:val="auto"/>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pPr>
        <w:pStyle w:val="5"/>
        <w:rPr>
          <w:rFonts w:hint="eastAsia" w:ascii="仿宋" w:hAnsi="仿宋" w:eastAsia="仿宋" w:cs="仿宋"/>
          <w:color w:val="auto"/>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pPr>
        <w:bidi w:val="0"/>
        <w:ind w:left="0" w:leftChars="0" w:firstLine="0" w:firstLineChars="0"/>
        <w:jc w:val="center"/>
        <w:outlineLvl w:val="0"/>
        <w:rPr>
          <w:rFonts w:hint="eastAsia" w:ascii="仿宋" w:hAnsi="仿宋" w:eastAsia="仿宋" w:cs="仿宋"/>
          <w:b/>
          <w:bCs/>
          <w:color w:val="auto"/>
          <w:sz w:val="48"/>
          <w:szCs w:val="36"/>
          <w:lang w:val="en-US" w:eastAsia="zh-CN"/>
        </w:rPr>
      </w:pPr>
      <w:bookmarkStart w:id="6" w:name="_Toc28537"/>
      <w:bookmarkStart w:id="7" w:name="_Toc32371"/>
      <w:bookmarkStart w:id="8" w:name="_Toc25350"/>
      <w:bookmarkStart w:id="9" w:name="_Toc17845"/>
      <w:r>
        <w:rPr>
          <w:rFonts w:hint="eastAsia" w:ascii="仿宋" w:hAnsi="仿宋" w:eastAsia="仿宋" w:cs="仿宋"/>
          <w:b/>
          <w:bCs/>
          <w:color w:val="auto"/>
          <w:sz w:val="48"/>
          <w:szCs w:val="36"/>
          <w:lang w:val="en-US" w:eastAsia="zh-CN"/>
        </w:rPr>
        <w:t>摘 要</w:t>
      </w:r>
      <w:bookmarkEnd w:id="6"/>
      <w:bookmarkEnd w:id="7"/>
      <w:bookmarkEnd w:id="8"/>
      <w:bookmarkEnd w:id="9"/>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如皋城西片区一期桃源路东、广福路北（324# 、325# ）地块位于南通市如皋市如城街道。调查范围东至益寿路，西至桃源路，南至广福路（规划路），北至滨河南路。本次调查地块总占地面积60584平方米（约90.876亩）。</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default"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（1）地块内当前及历史企业情况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bCs/>
          <w:color w:val="auto"/>
          <w:kern w:val="2"/>
          <w:sz w:val="24"/>
          <w:szCs w:val="32"/>
          <w:lang w:val="en-US" w:eastAsia="zh-CN" w:bidi="ar-SA"/>
        </w:rPr>
      </w:pPr>
      <w:r>
        <w:rPr>
          <w:rFonts w:hint="eastAsia" w:ascii="仿宋" w:hAnsi="仿宋" w:eastAsia="仿宋" w:cs="仿宋"/>
          <w:color w:val="auto"/>
          <w:sz w:val="24"/>
          <w:szCs w:val="24"/>
          <w:lang w:val="en-US" w:eastAsia="zh-CN"/>
        </w:rPr>
        <w:t>结合卫星影像及人员访谈得知，根据调查情况，地块内早期为农田，</w:t>
      </w:r>
      <w:r>
        <w:rPr>
          <w:rFonts w:hint="eastAsia" w:ascii="仿宋" w:hAnsi="仿宋" w:eastAsia="仿宋" w:cs="仿宋"/>
          <w:color w:val="auto"/>
          <w:szCs w:val="32"/>
        </w:rPr>
        <w:t>根据地块历史用途分为一区和二区，一区为居民区</w:t>
      </w:r>
      <w:r>
        <w:rPr>
          <w:rFonts w:hint="eastAsia" w:ascii="仿宋" w:hAnsi="仿宋" w:eastAsia="仿宋" w:cs="仿宋"/>
          <w:color w:val="auto"/>
          <w:szCs w:val="32"/>
          <w:lang w:eastAsia="zh-CN"/>
        </w:rPr>
        <w:t>；</w:t>
      </w:r>
      <w:r>
        <w:rPr>
          <w:rFonts w:hint="eastAsia" w:ascii="仿宋" w:hAnsi="仿宋" w:eastAsia="仿宋" w:cs="仿宋"/>
          <w:color w:val="auto"/>
          <w:szCs w:val="32"/>
        </w:rPr>
        <w:t>二区为企业</w:t>
      </w:r>
      <w:r>
        <w:rPr>
          <w:rFonts w:hint="eastAsia" w:ascii="仿宋" w:hAnsi="仿宋" w:eastAsia="仿宋" w:cs="仿宋"/>
          <w:color w:val="auto"/>
          <w:szCs w:val="32"/>
          <w:lang w:eastAsia="zh-CN"/>
        </w:rPr>
        <w:t>，</w:t>
      </w:r>
      <w:r>
        <w:rPr>
          <w:rFonts w:hint="eastAsia" w:ascii="仿宋" w:hAnsi="仿宋" w:eastAsia="仿宋" w:cs="仿宋"/>
          <w:color w:val="auto"/>
          <w:szCs w:val="32"/>
          <w:lang w:val="en-US" w:eastAsia="zh-CN"/>
        </w:rPr>
        <w:t>主要包括如皋市轧花厂部分厂区、如皋市海鹏浴室咨询服务部、如皋市三禾棉业商贸有限公司部分厂区、篮球学校等</w:t>
      </w:r>
      <w:r>
        <w:rPr>
          <w:rFonts w:hint="eastAsia" w:ascii="仿宋" w:hAnsi="仿宋" w:eastAsia="仿宋" w:cs="仿宋"/>
          <w:color w:val="auto"/>
          <w:szCs w:val="32"/>
        </w:rPr>
        <w:t>。</w:t>
      </w:r>
      <w:r>
        <w:rPr>
          <w:rFonts w:hint="eastAsia" w:ascii="仿宋" w:hAnsi="仿宋" w:eastAsia="仿宋" w:cs="仿宋"/>
          <w:b w:val="0"/>
          <w:bCs w:val="0"/>
          <w:color w:val="auto"/>
          <w:sz w:val="24"/>
          <w:szCs w:val="32"/>
          <w:lang w:val="en-US" w:eastAsia="zh-CN"/>
        </w:rPr>
        <w:t>根据环评资料，1991年如皋市轧花厂成立，部分厂区位于本次调查地块的二区，主要从事棉花加工行业，根据人员访谈得知，其中位于地块内的部分为如皋市轧花厂的仓库，不进行生产活动；2003年如皋市海鹏浴室咨询服务部成立；2007年如皋市轧花厂改制成立如皋市三禾棉业商贸有限公司，后三禾棉业将厂房出租作为篮球学校、仓库等用途，不进行生产，直至2023年地块内构筑物均拆除。</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地块内构筑物于2022-2023年全部拆除，目前为开放状态，土壤有受到人为扰动的可能。调查地块周围500m范围内的敏感目标为地表水、居民区、学校、医院等。</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default"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（2）地块周边当前及历史企业情况</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本次调查地块相邻地块周边当前和历史上存在多家企业，距离本次调查地块最近的企业为地块北侧10米处的南通君兰服饰线业有限公司。本次调查地块周边500m范围内存在七家重点行业企业，分别为如皋市万隆漂染厂、南通东韵染整有限公司、如皋市双佳助剂有限公司、如皋市托普制线厂、如皋市弘森染丝线厂、如皋市莱思染整有限公司、南通君兰服饰线业有限公司，风险关注度等级均为中度，其中如皋市万隆漂染厂为《关于如皋市重点行业企业用地调查高风险遗留地块（第一批）管控区域的公示（2022年3月24日）》中规定的高风险遗留地块，且未开展土壤和地下水检测工作。南通东韵染整有限公司在重点行业企业调查土壤和地下水检测中未出现超标现象。如皋市弘森染丝线厂、如皋市莱思染整有限公司已进行过场调工作，在如皋城西片区一期西部志颐路东、如泰运河南地块调查范围内，根据《如皋城西片区一期西部志颐路东、如泰运河南地块土壤污染状况调查报告》结论，符合GB36600中的第一类用地筛选值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其中周边企业存在的环保行政处罚情况如下：如皋市双佳助剂有限公司于2014年1月13日被如皋生态环境局（原如皋市环境保护局）作出皋环罚字（2014）2号行政处罚决定书，原因为未办理环评手续，水污染防治设施未经环保部门验收，擅自在如皋市如城镇西门外车站路18号建设甲醇、乙醇项目并投入生产。南通皋鑫电子股份有限公司于2018年4月27日被如皋生态环境局（原如皋市环境保护局）作出皋环罚字（2018）47号行政处罚决定书，原因为不正常运行污染防治设施。</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default"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（3）项目由来及准备工作</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本次调查地块用地性质为住宅（宅基地）、集体用地、道路。根据《如皋市西片区控制性详细规划（公示日期2021.12）》，本次调查地块未来规划为居住用地（R21）、道路用地，因道路占地面积为1772.8m</w:t>
      </w:r>
      <w:r>
        <w:rPr>
          <w:rFonts w:hint="eastAsia" w:ascii="仿宋" w:hAnsi="仿宋" w:eastAsia="仿宋" w:cs="仿宋"/>
          <w:color w:val="auto"/>
          <w:sz w:val="24"/>
          <w:szCs w:val="24"/>
          <w:vertAlign w:val="superscript"/>
          <w:lang w:val="en-US" w:eastAsia="zh-CN"/>
        </w:rPr>
        <w:t>2</w:t>
      </w:r>
      <w:r>
        <w:rPr>
          <w:rFonts w:hint="eastAsia" w:ascii="仿宋" w:hAnsi="仿宋" w:eastAsia="仿宋" w:cs="仿宋"/>
          <w:color w:val="auto"/>
          <w:sz w:val="24"/>
          <w:szCs w:val="24"/>
          <w:lang w:val="en-US" w:eastAsia="zh-CN"/>
        </w:rPr>
        <w:t>，其面积较小，仅占据本次调查总面积的2.9%，因此本次调查采用《土壤环境质量 建设用地土壤污染风险管控标准(试行)》（GB36600-2018）中的第一类用地筛选值标准统一进行评价。根据《中华人民共和国土壤污染防治法》第五十九条：用途变更为住宅、公共管理与公共服务用地的，变更前应当按照规定进行土壤污染状况调查。</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因此，如皋市西片区综合开发有限公司委托江苏标普检测科技有限公司（以下简称“我司”）对如皋城西片区一期桃源路东、广福路北（324# 、325# ）地块土壤污染状况进行调查。我司组织项目组成员对调查地块进行现场踏勘、调查，收集了有关资料，并委托中煤长江生态环境科技有限公司进行现场钻探取样工作。样品集采及样品检测分析由江苏光质检测科技有限公司（具有CMA资质）负责。</w:t>
      </w:r>
    </w:p>
    <w:p>
      <w:pPr>
        <w:pStyle w:val="5"/>
        <w:keepNext w:val="0"/>
        <w:keepLines w:val="0"/>
        <w:pageBreakBefore w:val="0"/>
        <w:widowControl w:val="0"/>
        <w:numPr>
          <w:ilvl w:val="0"/>
          <w:numId w:val="0"/>
        </w:numPr>
        <w:kinsoku/>
        <w:wordWrap/>
        <w:overflowPunct/>
        <w:topLinePunct w:val="0"/>
        <w:autoSpaceDE/>
        <w:autoSpaceDN/>
        <w:bidi w:val="0"/>
        <w:adjustRightInd/>
        <w:snapToGrid/>
        <w:spacing w:after="0" w:afterLines="0"/>
        <w:ind w:left="480" w:leftChars="0"/>
        <w:textAlignment w:val="auto"/>
        <w:outlineLvl w:val="9"/>
        <w:rPr>
          <w:rFonts w:hint="eastAsia" w:ascii="仿宋" w:hAnsi="仿宋" w:eastAsia="仿宋" w:cs="仿宋"/>
          <w:b/>
          <w:bCs/>
          <w:color w:val="auto"/>
          <w:sz w:val="24"/>
          <w:szCs w:val="24"/>
          <w:lang w:val="en-US" w:eastAsia="zh-CN"/>
        </w:rPr>
      </w:pPr>
      <w:bookmarkStart w:id="10" w:name="_Toc249"/>
      <w:bookmarkStart w:id="11" w:name="_Toc5347"/>
      <w:r>
        <w:rPr>
          <w:rFonts w:hint="eastAsia" w:ascii="仿宋" w:hAnsi="仿宋" w:eastAsia="仿宋" w:cs="仿宋"/>
          <w:b/>
          <w:bCs/>
          <w:color w:val="auto"/>
          <w:sz w:val="24"/>
          <w:szCs w:val="24"/>
          <w:lang w:val="en-US" w:eastAsia="zh-CN"/>
        </w:rPr>
        <w:t>一、第一阶段土壤污染状况调查</w:t>
      </w:r>
      <w:bookmarkEnd w:id="10"/>
      <w:bookmarkEnd w:id="11"/>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color w:val="auto"/>
          <w:sz w:val="24"/>
          <w:szCs w:val="24"/>
          <w:lang w:val="en-US" w:eastAsia="zh-CN"/>
        </w:rPr>
        <w:t>第一阶段调查工作开展时间为2023年7月5日，根据调查情况，地块内早期为农田，根据地块历史用途分为一区和二区，一区为居民区；二区为企业，其主要包括如皋市轧花厂部分厂区、如皋市海鹏浴室咨询服务部、如皋市三禾棉业商贸有限公司部分厂区、篮球学校等。根据环评资料，1991年如皋市轧花厂成立，部分厂区位于本次调查地块的二区，主要从事棉花加工行业，根据人员访谈得知，其中位于地块内的部分为如皋市轧花厂的仓库，不进行生产活动；2003年如皋市海鹏浴室咨询服务部成立；2007年如皋市轧花厂改制成立如皋市三禾棉业商贸有限公司，后三禾棉业将厂房出租作为篮球学校、仓库等用途，不进行生产，直至2023年地块内构筑物均拆除。</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default" w:ascii="仿宋" w:hAnsi="仿宋" w:eastAsia="仿宋" w:cs="仿宋"/>
          <w:color w:val="auto"/>
          <w:sz w:val="24"/>
          <w:szCs w:val="24"/>
          <w:lang w:val="en-US" w:eastAsia="zh-CN"/>
        </w:rPr>
      </w:pPr>
      <w:r>
        <w:rPr>
          <w:rFonts w:hint="eastAsia" w:ascii="仿宋" w:hAnsi="仿宋" w:eastAsia="仿宋" w:cs="仿宋"/>
          <w:b w:val="0"/>
          <w:bCs w:val="0"/>
          <w:color w:val="auto"/>
          <w:sz w:val="24"/>
          <w:szCs w:val="32"/>
          <w:lang w:val="en-US" w:eastAsia="zh-CN"/>
        </w:rPr>
        <w:t>根据调查结果，地块内企业不涉及生产，如皋市轧花厂设备维护检修时可能会使用到少量机油；海鹏浴室煤炭堆放和燃烧会产生</w:t>
      </w:r>
      <w:r>
        <w:rPr>
          <w:rFonts w:hint="eastAsia" w:ascii="仿宋" w:hAnsi="仿宋" w:eastAsia="仿宋" w:cs="仿宋"/>
          <w:b w:val="0"/>
          <w:bCs w:val="0"/>
          <w:color w:val="auto"/>
          <w:kern w:val="2"/>
          <w:sz w:val="24"/>
          <w:szCs w:val="32"/>
          <w:lang w:val="en-US" w:eastAsia="zh-CN" w:bidi="ar-SA"/>
        </w:rPr>
        <w:t>颗粒物</w:t>
      </w:r>
      <w:r>
        <w:rPr>
          <w:rFonts w:hint="default" w:ascii="仿宋" w:hAnsi="仿宋" w:eastAsia="仿宋" w:cs="仿宋"/>
          <w:b w:val="0"/>
          <w:bCs w:val="0"/>
          <w:color w:val="auto"/>
          <w:kern w:val="2"/>
          <w:sz w:val="24"/>
          <w:szCs w:val="32"/>
          <w:lang w:val="en-US" w:eastAsia="zh-CN" w:bidi="ar-SA"/>
        </w:rPr>
        <w:t>、二氧化硫、氮氧化物</w:t>
      </w:r>
      <w:r>
        <w:rPr>
          <w:rFonts w:hint="eastAsia" w:ascii="仿宋" w:hAnsi="仿宋" w:eastAsia="仿宋" w:cs="仿宋"/>
          <w:b w:val="0"/>
          <w:bCs w:val="0"/>
          <w:color w:val="auto"/>
          <w:kern w:val="2"/>
          <w:sz w:val="24"/>
          <w:szCs w:val="32"/>
          <w:lang w:val="en-US" w:eastAsia="zh-CN" w:bidi="ar-SA"/>
        </w:rPr>
        <w:t>、多环芳烃，洗浴废水含有</w:t>
      </w:r>
      <w:r>
        <w:rPr>
          <w:rFonts w:hint="eastAsia" w:ascii="仿宋" w:hAnsi="仿宋" w:eastAsia="仿宋" w:cs="仿宋"/>
          <w:b w:val="0"/>
          <w:bCs w:val="0"/>
          <w:color w:val="auto"/>
          <w:kern w:val="2"/>
          <w:sz w:val="24"/>
          <w:szCs w:val="24"/>
          <w:lang w:val="en-US" w:eastAsia="zh-CN" w:bidi="ar-SA"/>
        </w:rPr>
        <w:t>pH、COD、氨氮、阴离子表面活性剂等污染因子</w:t>
      </w:r>
      <w:r>
        <w:rPr>
          <w:rFonts w:hint="eastAsia" w:ascii="仿宋" w:hAnsi="仿宋" w:eastAsia="仿宋" w:cs="仿宋"/>
          <w:b w:val="0"/>
          <w:bCs w:val="0"/>
          <w:color w:val="auto"/>
          <w:kern w:val="2"/>
          <w:sz w:val="24"/>
          <w:szCs w:val="32"/>
          <w:lang w:val="en-US" w:eastAsia="zh-CN" w:bidi="ar-SA"/>
        </w:rPr>
        <w:t>，根据煤炭理化性质等确定本次调查潜在的土壤和地下水污染因子为</w:t>
      </w:r>
      <w:r>
        <w:rPr>
          <w:rFonts w:hint="default" w:ascii="仿宋" w:hAnsi="仿宋" w:eastAsia="仿宋" w:cs="仿宋"/>
          <w:b w:val="0"/>
          <w:bCs w:val="0"/>
          <w:color w:val="auto"/>
          <w:kern w:val="2"/>
          <w:sz w:val="24"/>
          <w:szCs w:val="32"/>
          <w:lang w:val="en-US" w:eastAsia="zh-CN" w:bidi="ar-SA"/>
        </w:rPr>
        <w:t>硫酸盐、砷、铅、汞、</w:t>
      </w:r>
      <w:r>
        <w:rPr>
          <w:rFonts w:hint="eastAsia" w:ascii="仿宋" w:hAnsi="仿宋" w:eastAsia="仿宋" w:cs="仿宋"/>
          <w:b w:val="0"/>
          <w:bCs w:val="0"/>
          <w:color w:val="auto"/>
          <w:kern w:val="2"/>
          <w:sz w:val="24"/>
          <w:szCs w:val="32"/>
          <w:lang w:val="en-US" w:eastAsia="zh-CN" w:bidi="ar-SA"/>
        </w:rPr>
        <w:t>六价</w:t>
      </w:r>
      <w:r>
        <w:rPr>
          <w:rFonts w:hint="default" w:ascii="仿宋" w:hAnsi="仿宋" w:eastAsia="仿宋" w:cs="仿宋"/>
          <w:b w:val="0"/>
          <w:bCs w:val="0"/>
          <w:color w:val="auto"/>
          <w:kern w:val="2"/>
          <w:sz w:val="24"/>
          <w:szCs w:val="32"/>
          <w:lang w:val="en-US" w:eastAsia="zh-CN" w:bidi="ar-SA"/>
        </w:rPr>
        <w:t>铬、</w:t>
      </w:r>
      <w:r>
        <w:rPr>
          <w:rFonts w:hint="eastAsia" w:ascii="仿宋" w:hAnsi="仿宋" w:eastAsia="仿宋" w:cs="仿宋"/>
          <w:b w:val="0"/>
          <w:bCs w:val="0"/>
          <w:color w:val="auto"/>
          <w:kern w:val="2"/>
          <w:sz w:val="24"/>
          <w:szCs w:val="32"/>
          <w:lang w:val="en-US" w:eastAsia="zh-CN" w:bidi="ar-SA"/>
        </w:rPr>
        <w:t>铬、</w:t>
      </w:r>
      <w:r>
        <w:rPr>
          <w:rFonts w:hint="default" w:ascii="仿宋" w:hAnsi="仿宋" w:eastAsia="仿宋" w:cs="仿宋"/>
          <w:b w:val="0"/>
          <w:bCs w:val="0"/>
          <w:color w:val="auto"/>
          <w:kern w:val="2"/>
          <w:sz w:val="24"/>
          <w:szCs w:val="32"/>
          <w:lang w:val="en-US" w:eastAsia="zh-CN" w:bidi="ar-SA"/>
        </w:rPr>
        <w:t>多环芳烃</w:t>
      </w:r>
      <w:r>
        <w:rPr>
          <w:rFonts w:hint="eastAsia" w:ascii="仿宋" w:hAnsi="仿宋" w:eastAsia="仿宋" w:cs="仿宋"/>
          <w:b w:val="0"/>
          <w:bCs w:val="0"/>
          <w:color w:val="auto"/>
          <w:kern w:val="2"/>
          <w:sz w:val="24"/>
          <w:szCs w:val="32"/>
          <w:lang w:val="en-US" w:eastAsia="zh-CN" w:bidi="ar-SA"/>
        </w:rPr>
        <w:t>、阴离子表面活性剂、</w:t>
      </w:r>
      <w:r>
        <w:rPr>
          <w:rFonts w:hint="default" w:ascii="仿宋" w:hAnsi="仿宋" w:eastAsia="仿宋" w:cs="仿宋"/>
          <w:b w:val="0"/>
          <w:bCs w:val="0"/>
          <w:color w:val="auto"/>
          <w:kern w:val="2"/>
          <w:sz w:val="24"/>
          <w:szCs w:val="32"/>
          <w:lang w:val="en-US" w:eastAsia="zh-CN" w:bidi="ar-SA"/>
        </w:rPr>
        <w:t>石油烃</w:t>
      </w:r>
      <w:r>
        <w:rPr>
          <w:rFonts w:hint="eastAsia" w:ascii="仿宋" w:hAnsi="仿宋" w:eastAsia="仿宋" w:cs="仿宋"/>
          <w:b w:val="0"/>
          <w:bCs w:val="0"/>
          <w:color w:val="auto"/>
          <w:kern w:val="2"/>
          <w:sz w:val="24"/>
          <w:szCs w:val="32"/>
          <w:lang w:val="en-US" w:eastAsia="zh-CN" w:bidi="ar-SA"/>
        </w:rPr>
        <w:t>（C</w:t>
      </w:r>
      <w:r>
        <w:rPr>
          <w:rFonts w:hint="eastAsia" w:ascii="仿宋" w:hAnsi="仿宋" w:eastAsia="仿宋" w:cs="仿宋"/>
          <w:b w:val="0"/>
          <w:bCs w:val="0"/>
          <w:color w:val="auto"/>
          <w:kern w:val="2"/>
          <w:sz w:val="24"/>
          <w:szCs w:val="32"/>
          <w:vertAlign w:val="subscript"/>
          <w:lang w:val="en-US" w:eastAsia="zh-CN" w:bidi="ar-SA"/>
        </w:rPr>
        <w:t>10</w:t>
      </w:r>
      <w:r>
        <w:rPr>
          <w:rFonts w:hint="eastAsia" w:ascii="仿宋" w:hAnsi="仿宋" w:eastAsia="仿宋" w:cs="仿宋"/>
          <w:b w:val="0"/>
          <w:bCs w:val="0"/>
          <w:color w:val="auto"/>
          <w:kern w:val="2"/>
          <w:sz w:val="24"/>
          <w:szCs w:val="32"/>
          <w:vertAlign w:val="baseline"/>
          <w:lang w:val="en-US" w:eastAsia="zh-CN" w:bidi="ar-SA"/>
        </w:rPr>
        <w:t>-C</w:t>
      </w:r>
      <w:r>
        <w:rPr>
          <w:rFonts w:hint="eastAsia" w:ascii="仿宋" w:hAnsi="仿宋" w:eastAsia="仿宋" w:cs="仿宋"/>
          <w:b w:val="0"/>
          <w:bCs w:val="0"/>
          <w:color w:val="auto"/>
          <w:kern w:val="2"/>
          <w:sz w:val="24"/>
          <w:szCs w:val="32"/>
          <w:vertAlign w:val="subscript"/>
          <w:lang w:val="en-US" w:eastAsia="zh-CN" w:bidi="ar-SA"/>
        </w:rPr>
        <w:t>40</w:t>
      </w:r>
      <w:r>
        <w:rPr>
          <w:rFonts w:hint="eastAsia" w:ascii="仿宋" w:hAnsi="仿宋" w:eastAsia="仿宋" w:cs="仿宋"/>
          <w:b w:val="0"/>
          <w:bCs w:val="0"/>
          <w:color w:val="auto"/>
          <w:kern w:val="2"/>
          <w:sz w:val="24"/>
          <w:szCs w:val="32"/>
          <w:lang w:val="en-US" w:eastAsia="zh-CN" w:bidi="ar-SA"/>
        </w:rPr>
        <w:t>）</w:t>
      </w:r>
      <w:r>
        <w:rPr>
          <w:rFonts w:hint="eastAsia" w:ascii="仿宋" w:hAnsi="仿宋" w:eastAsia="仿宋" w:cs="仿宋"/>
          <w:b w:val="0"/>
          <w:bCs w:val="0"/>
          <w:color w:val="auto"/>
          <w:kern w:val="2"/>
          <w:sz w:val="24"/>
          <w:szCs w:val="24"/>
          <w:lang w:val="en-US" w:eastAsia="zh-CN" w:bidi="ar-SA"/>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调查地块周围500m范围内的敏感目标为地表水、居民区、学校、工业区等。本次调查地块相邻地块当前和历史上一直为道路、农田或居民区；周边500m范围内当前和历史上存在多家企业，主要为纺织印染企业、机械加工企业、化工医药企业等，距离本次调查地块最近的企业为地块北侧10米处的南通君兰服饰线业有限公司。</w:t>
      </w:r>
      <w:r>
        <w:rPr>
          <w:rFonts w:hint="eastAsia" w:ascii="仿宋" w:hAnsi="仿宋" w:eastAsia="仿宋" w:cs="仿宋"/>
          <w:b w:val="0"/>
          <w:bCs w:val="0"/>
          <w:color w:val="auto"/>
          <w:kern w:val="2"/>
          <w:sz w:val="24"/>
          <w:szCs w:val="32"/>
          <w:lang w:val="en-US" w:eastAsia="zh-CN" w:bidi="ar-SA"/>
        </w:rPr>
        <w:t>根据周边500m范围内的敏感目标，确定本次调查潜在的土壤和地下水污染因子为</w:t>
      </w:r>
      <w:r>
        <w:rPr>
          <w:rFonts w:hint="eastAsia" w:ascii="仿宋" w:hAnsi="仿宋" w:eastAsia="仿宋" w:cs="仿宋"/>
          <w:b w:val="0"/>
          <w:bCs w:val="0"/>
          <w:color w:val="auto"/>
          <w:kern w:val="2"/>
          <w:sz w:val="24"/>
          <w:szCs w:val="24"/>
          <w:lang w:val="en-US" w:eastAsia="zh-CN" w:bidi="ar-SA"/>
        </w:rPr>
        <w:t>pH、色度、阴离子表面活性剂、氢氧化钠、乙酸、盐酸、硫酸、氨氮、COD、硫化物、氯化物、氟化物、硝酸盐、亚硝酸盐、汞、镍、砷、铅、锑、六价铬、锌、硒、锡、硼、甲苯、二甲苯、丙酮、甲醛、甲醇、苯酚、邻苯二酚、苯胺及联苯胺类、三氯苯、三溴甲烷、AOX、多环芳烃、硬脂酸锌、二丙二醇甲醚、二丙二醇丁醚、</w:t>
      </w:r>
      <w:r>
        <w:rPr>
          <w:rFonts w:hint="default" w:ascii="仿宋" w:hAnsi="仿宋" w:eastAsia="仿宋" w:cs="仿宋"/>
          <w:b w:val="0"/>
          <w:bCs w:val="0"/>
          <w:color w:val="auto"/>
          <w:kern w:val="2"/>
          <w:sz w:val="24"/>
          <w:szCs w:val="24"/>
          <w:lang w:val="en-US" w:eastAsia="zh-CN" w:bidi="ar-SA"/>
        </w:rPr>
        <w:t>二甲基甲酰胺</w:t>
      </w:r>
      <w:r>
        <w:rPr>
          <w:rFonts w:hint="eastAsia" w:ascii="仿宋" w:hAnsi="仿宋" w:eastAsia="仿宋" w:cs="仿宋"/>
          <w:b w:val="0"/>
          <w:bCs w:val="0"/>
          <w:color w:val="auto"/>
          <w:kern w:val="2"/>
          <w:sz w:val="24"/>
          <w:szCs w:val="24"/>
          <w:lang w:val="en-US" w:eastAsia="zh-CN" w:bidi="ar-SA"/>
        </w:rPr>
        <w:t>、氰化亚金钾、石油烃（C</w:t>
      </w:r>
      <w:r>
        <w:rPr>
          <w:rFonts w:hint="eastAsia" w:ascii="仿宋" w:hAnsi="仿宋" w:eastAsia="仿宋" w:cs="仿宋"/>
          <w:b w:val="0"/>
          <w:bCs w:val="0"/>
          <w:color w:val="auto"/>
          <w:kern w:val="2"/>
          <w:sz w:val="24"/>
          <w:szCs w:val="24"/>
          <w:vertAlign w:val="subscript"/>
          <w:lang w:val="en-US" w:eastAsia="zh-CN" w:bidi="ar-SA"/>
        </w:rPr>
        <w:t>6</w:t>
      </w:r>
      <w:r>
        <w:rPr>
          <w:rFonts w:hint="eastAsia" w:ascii="仿宋" w:hAnsi="仿宋" w:eastAsia="仿宋" w:cs="仿宋"/>
          <w:b w:val="0"/>
          <w:bCs w:val="0"/>
          <w:color w:val="auto"/>
          <w:kern w:val="2"/>
          <w:sz w:val="24"/>
          <w:szCs w:val="24"/>
          <w:lang w:val="en-US" w:eastAsia="zh-CN" w:bidi="ar-SA"/>
        </w:rPr>
        <w:t>-C</w:t>
      </w:r>
      <w:r>
        <w:rPr>
          <w:rFonts w:hint="eastAsia" w:ascii="仿宋" w:hAnsi="仿宋" w:eastAsia="仿宋" w:cs="仿宋"/>
          <w:b w:val="0"/>
          <w:bCs w:val="0"/>
          <w:color w:val="auto"/>
          <w:kern w:val="2"/>
          <w:sz w:val="24"/>
          <w:szCs w:val="24"/>
          <w:vertAlign w:val="subscript"/>
          <w:lang w:val="en-US" w:eastAsia="zh-CN" w:bidi="ar-SA"/>
        </w:rPr>
        <w:t>9</w:t>
      </w:r>
      <w:r>
        <w:rPr>
          <w:rFonts w:hint="eastAsia" w:ascii="仿宋" w:hAnsi="仿宋" w:eastAsia="仿宋" w:cs="仿宋"/>
          <w:b w:val="0"/>
          <w:bCs w:val="0"/>
          <w:color w:val="auto"/>
          <w:kern w:val="2"/>
          <w:sz w:val="24"/>
          <w:szCs w:val="24"/>
          <w:lang w:val="en-US" w:eastAsia="zh-CN" w:bidi="ar-SA"/>
        </w:rPr>
        <w:t>）、石油烃（C</w:t>
      </w:r>
      <w:r>
        <w:rPr>
          <w:rFonts w:hint="eastAsia" w:ascii="仿宋" w:hAnsi="仿宋" w:eastAsia="仿宋" w:cs="仿宋"/>
          <w:b w:val="0"/>
          <w:bCs w:val="0"/>
          <w:color w:val="auto"/>
          <w:kern w:val="2"/>
          <w:sz w:val="24"/>
          <w:szCs w:val="24"/>
          <w:vertAlign w:val="subscript"/>
          <w:lang w:val="en-US" w:eastAsia="zh-CN" w:bidi="ar-SA"/>
        </w:rPr>
        <w:t>10</w:t>
      </w:r>
      <w:r>
        <w:rPr>
          <w:rFonts w:hint="eastAsia" w:ascii="仿宋" w:hAnsi="仿宋" w:eastAsia="仿宋" w:cs="仿宋"/>
          <w:b w:val="0"/>
          <w:bCs w:val="0"/>
          <w:color w:val="auto"/>
          <w:kern w:val="2"/>
          <w:sz w:val="24"/>
          <w:szCs w:val="24"/>
          <w:lang w:val="en-US" w:eastAsia="zh-CN" w:bidi="ar-SA"/>
        </w:rPr>
        <w:t>-C</w:t>
      </w:r>
      <w:r>
        <w:rPr>
          <w:rFonts w:hint="eastAsia" w:ascii="仿宋" w:hAnsi="仿宋" w:eastAsia="仿宋" w:cs="仿宋"/>
          <w:b w:val="0"/>
          <w:bCs w:val="0"/>
          <w:color w:val="auto"/>
          <w:kern w:val="2"/>
          <w:sz w:val="24"/>
          <w:szCs w:val="24"/>
          <w:vertAlign w:val="subscript"/>
          <w:lang w:val="en-US" w:eastAsia="zh-CN" w:bidi="ar-SA"/>
        </w:rPr>
        <w:t>40</w:t>
      </w:r>
      <w:r>
        <w:rPr>
          <w:rFonts w:hint="eastAsia" w:ascii="仿宋" w:hAnsi="仿宋" w:eastAsia="仿宋" w:cs="仿宋"/>
          <w:b w:val="0"/>
          <w:bCs w:val="0"/>
          <w:color w:val="auto"/>
          <w:kern w:val="2"/>
          <w:sz w:val="24"/>
          <w:szCs w:val="24"/>
          <w:lang w:val="en-US" w:eastAsia="zh-CN" w:bidi="ar-SA"/>
        </w:rPr>
        <w:t>）、甲基叔丁基醚</w:t>
      </w:r>
      <w:r>
        <w:rPr>
          <w:rFonts w:hint="eastAsia" w:ascii="仿宋" w:hAnsi="仿宋" w:eastAsia="仿宋" w:cs="仿宋"/>
          <w:color w:val="auto"/>
          <w:sz w:val="24"/>
          <w:szCs w:val="24"/>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200"/>
        <w:textAlignment w:val="auto"/>
        <w:outlineLvl w:val="9"/>
        <w:rPr>
          <w:rFonts w:hint="eastAsia" w:ascii="仿宋" w:hAnsi="仿宋" w:eastAsia="仿宋" w:cs="仿宋"/>
          <w:b/>
          <w:bCs/>
          <w:color w:val="auto"/>
          <w:lang w:val="en-US" w:eastAsia="zh-CN"/>
        </w:rPr>
      </w:pPr>
      <w:bookmarkStart w:id="12" w:name="_Toc10178"/>
      <w:bookmarkStart w:id="13" w:name="_Toc19775"/>
      <w:r>
        <w:rPr>
          <w:rFonts w:hint="eastAsia" w:ascii="仿宋" w:hAnsi="仿宋" w:eastAsia="仿宋" w:cs="仿宋"/>
          <w:b/>
          <w:bCs/>
          <w:color w:val="auto"/>
          <w:lang w:val="en-US" w:eastAsia="zh-CN"/>
        </w:rPr>
        <w:t>二、初步采样调查</w:t>
      </w:r>
      <w:bookmarkEnd w:id="12"/>
      <w:bookmarkEnd w:id="13"/>
    </w:p>
    <w:p>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仿宋" w:hAnsi="仿宋" w:eastAsia="仿宋" w:cs="仿宋"/>
          <w:color w:val="auto"/>
          <w:kern w:val="2"/>
          <w:sz w:val="24"/>
          <w:szCs w:val="20"/>
          <w:lang w:val="en-US" w:eastAsia="zh-CN" w:bidi="ar-SA"/>
        </w:rPr>
      </w:pPr>
      <w:r>
        <w:rPr>
          <w:rFonts w:hint="eastAsia" w:ascii="仿宋" w:hAnsi="仿宋" w:eastAsia="仿宋" w:cs="仿宋"/>
          <w:color w:val="auto"/>
          <w:lang w:val="en-US" w:eastAsia="zh-CN"/>
        </w:rPr>
        <w:t>第二阶段土壤污染状况调查初步采样时间为2024年3月29日。本次土壤污染状况调查</w:t>
      </w:r>
      <w:r>
        <w:rPr>
          <w:rFonts w:hint="default" w:ascii="Times New Roman" w:hAnsi="Times New Roman" w:eastAsia="仿宋" w:cs="Times New Roman"/>
          <w:color w:val="auto"/>
          <w:sz w:val="24"/>
          <w:szCs w:val="24"/>
          <w:lang w:val="en-US" w:eastAsia="zh-CN"/>
        </w:rPr>
        <w:t>共布设</w:t>
      </w:r>
      <w:r>
        <w:rPr>
          <w:rFonts w:hint="eastAsia" w:eastAsia="仿宋" w:cs="Times New Roman"/>
          <w:color w:val="auto"/>
          <w:sz w:val="24"/>
          <w:szCs w:val="24"/>
          <w:lang w:val="en-US" w:eastAsia="zh-CN"/>
        </w:rPr>
        <w:t>18</w:t>
      </w:r>
      <w:r>
        <w:rPr>
          <w:rFonts w:hint="default" w:ascii="Times New Roman" w:hAnsi="Times New Roman" w:eastAsia="仿宋" w:cs="Times New Roman"/>
          <w:color w:val="auto"/>
          <w:sz w:val="24"/>
          <w:szCs w:val="24"/>
          <w:lang w:val="en-US" w:eastAsia="zh-CN"/>
        </w:rPr>
        <w:t>个土壤采样点位（包含一个土壤对照采样点）</w:t>
      </w:r>
      <w:r>
        <w:rPr>
          <w:rFonts w:hint="eastAsia" w:ascii="仿宋" w:hAnsi="仿宋" w:eastAsia="仿宋" w:cs="仿宋"/>
          <w:color w:val="auto"/>
          <w:lang w:val="en-US" w:eastAsia="zh-CN"/>
        </w:rPr>
        <w:t>，</w:t>
      </w:r>
      <w:r>
        <w:rPr>
          <w:rFonts w:hint="eastAsia" w:ascii="Times New Roman" w:hAnsi="Times New Roman" w:eastAsia="仿宋" w:cs="Times New Roman"/>
          <w:color w:val="auto"/>
          <w:kern w:val="2"/>
          <w:sz w:val="24"/>
          <w:szCs w:val="20"/>
          <w:lang w:val="en-US" w:eastAsia="zh-CN" w:bidi="ar-SA"/>
        </w:rPr>
        <w:t>土壤点位采样深度为6m</w:t>
      </w:r>
      <w:r>
        <w:rPr>
          <w:rFonts w:hint="eastAsia" w:ascii="仿宋" w:hAnsi="仿宋" w:eastAsia="仿宋" w:cs="仿宋"/>
          <w:color w:val="auto"/>
          <w:lang w:val="en-US" w:eastAsia="zh-CN"/>
        </w:rPr>
        <w:t>，</w:t>
      </w:r>
      <w:r>
        <w:rPr>
          <w:rFonts w:hint="default" w:ascii="Times New Roman" w:hAnsi="Times New Roman" w:eastAsia="仿宋" w:cs="Times New Roman"/>
          <w:color w:val="auto"/>
          <w:sz w:val="24"/>
          <w:szCs w:val="24"/>
          <w:lang w:val="en-US" w:eastAsia="zh-CN"/>
        </w:rPr>
        <w:t>共送检</w:t>
      </w:r>
      <w:r>
        <w:rPr>
          <w:rFonts w:hint="eastAsia" w:eastAsia="仿宋" w:cs="Times New Roman"/>
          <w:color w:val="auto"/>
          <w:sz w:val="24"/>
          <w:szCs w:val="24"/>
          <w:lang w:val="en-US" w:eastAsia="zh-CN"/>
        </w:rPr>
        <w:t>81</w:t>
      </w:r>
      <w:r>
        <w:rPr>
          <w:rFonts w:hint="default" w:ascii="Times New Roman" w:hAnsi="Times New Roman" w:eastAsia="仿宋" w:cs="Times New Roman"/>
          <w:color w:val="auto"/>
          <w:szCs w:val="18"/>
          <w:lang w:val="en-US" w:eastAsia="zh-CN"/>
        </w:rPr>
        <w:t>个土壤样品（包括</w:t>
      </w:r>
      <w:r>
        <w:rPr>
          <w:rFonts w:hint="eastAsia" w:eastAsia="仿宋" w:cs="Times New Roman"/>
          <w:color w:val="auto"/>
          <w:szCs w:val="18"/>
          <w:lang w:val="en-US" w:eastAsia="zh-CN"/>
        </w:rPr>
        <w:t>4</w:t>
      </w:r>
      <w:r>
        <w:rPr>
          <w:rFonts w:hint="default" w:ascii="Times New Roman" w:hAnsi="Times New Roman" w:eastAsia="仿宋" w:cs="Times New Roman"/>
          <w:color w:val="auto"/>
          <w:szCs w:val="18"/>
          <w:lang w:val="en-US" w:eastAsia="zh-CN"/>
        </w:rPr>
        <w:t>个对照土样品，</w:t>
      </w:r>
      <w:r>
        <w:rPr>
          <w:rFonts w:hint="eastAsia" w:eastAsia="仿宋" w:cs="Times New Roman"/>
          <w:color w:val="auto"/>
          <w:szCs w:val="18"/>
          <w:lang w:val="en-US" w:eastAsia="zh-CN"/>
        </w:rPr>
        <w:t>9</w:t>
      </w:r>
      <w:r>
        <w:rPr>
          <w:rFonts w:hint="default" w:ascii="Times New Roman" w:hAnsi="Times New Roman" w:eastAsia="仿宋" w:cs="Times New Roman"/>
          <w:color w:val="auto"/>
          <w:szCs w:val="18"/>
          <w:lang w:val="en-US" w:eastAsia="zh-CN"/>
        </w:rPr>
        <w:t>个平行样）</w:t>
      </w:r>
      <w:r>
        <w:rPr>
          <w:rFonts w:hint="eastAsia" w:ascii="仿宋" w:hAnsi="仿宋" w:eastAsia="仿宋" w:cs="仿宋"/>
          <w:color w:val="auto"/>
          <w:lang w:val="en-US" w:eastAsia="zh-CN"/>
        </w:rPr>
        <w:t>。共布设9个地下水监测井（包含一个地下水对照采样点），采集11个地下水样品（包含2个平行样）。土壤检测项目为：</w:t>
      </w:r>
      <w:r>
        <w:rPr>
          <w:rFonts w:hint="eastAsia" w:ascii="仿宋" w:hAnsi="仿宋" w:eastAsia="仿宋" w:cs="仿宋"/>
          <w:color w:val="auto"/>
          <w:sz w:val="24"/>
          <w:szCs w:val="24"/>
        </w:rPr>
        <w:t>pH值、</w:t>
      </w:r>
      <w:r>
        <w:rPr>
          <w:rFonts w:hint="eastAsia" w:ascii="仿宋" w:hAnsi="仿宋" w:eastAsia="仿宋" w:cs="仿宋"/>
          <w:color w:val="auto"/>
          <w:sz w:val="24"/>
          <w:szCs w:val="24"/>
          <w:lang w:val="en-US" w:eastAsia="zh-CN"/>
        </w:rPr>
        <w:t>CB36600中表1基本项目45项、</w:t>
      </w:r>
      <w:r>
        <w:rPr>
          <w:rFonts w:hint="eastAsia" w:ascii="仿宋" w:hAnsi="仿宋" w:eastAsia="仿宋" w:cs="仿宋"/>
          <w:color w:val="auto"/>
          <w:sz w:val="24"/>
          <w:szCs w:val="24"/>
          <w:vertAlign w:val="baseline"/>
          <w:lang w:val="en-US" w:eastAsia="zh-CN"/>
        </w:rPr>
        <w:t>氨氮、硫化物、氟化物、氯化物、氰化物、硫酸盐、硝酸盐、亚硝酸盐、石油烃（C</w:t>
      </w:r>
      <w:r>
        <w:rPr>
          <w:rFonts w:hint="eastAsia" w:ascii="仿宋" w:hAnsi="仿宋" w:eastAsia="仿宋" w:cs="仿宋"/>
          <w:color w:val="auto"/>
          <w:sz w:val="24"/>
          <w:szCs w:val="24"/>
          <w:vertAlign w:val="subscript"/>
          <w:lang w:val="en-US" w:eastAsia="zh-CN"/>
        </w:rPr>
        <w:t>10</w:t>
      </w:r>
      <w:r>
        <w:rPr>
          <w:rFonts w:hint="eastAsia" w:ascii="仿宋" w:hAnsi="仿宋" w:eastAsia="仿宋" w:cs="仿宋"/>
          <w:color w:val="auto"/>
          <w:sz w:val="24"/>
          <w:szCs w:val="24"/>
          <w:vertAlign w:val="baseline"/>
          <w:lang w:val="en-US" w:eastAsia="zh-CN"/>
        </w:rPr>
        <w:t>-C</w:t>
      </w:r>
      <w:r>
        <w:rPr>
          <w:rFonts w:hint="eastAsia" w:ascii="仿宋" w:hAnsi="仿宋" w:eastAsia="仿宋" w:cs="仿宋"/>
          <w:color w:val="auto"/>
          <w:sz w:val="24"/>
          <w:szCs w:val="24"/>
          <w:vertAlign w:val="subscript"/>
          <w:lang w:val="en-US" w:eastAsia="zh-CN"/>
        </w:rPr>
        <w:t>40</w:t>
      </w:r>
      <w:r>
        <w:rPr>
          <w:rFonts w:hint="eastAsia" w:ascii="仿宋" w:hAnsi="仿宋" w:eastAsia="仿宋" w:cs="仿宋"/>
          <w:color w:val="auto"/>
          <w:sz w:val="24"/>
          <w:szCs w:val="24"/>
          <w:vertAlign w:val="baseline"/>
          <w:lang w:val="en-US" w:eastAsia="zh-CN"/>
        </w:rPr>
        <w:t>）、石油烃（C</w:t>
      </w:r>
      <w:r>
        <w:rPr>
          <w:rFonts w:hint="eastAsia" w:ascii="仿宋" w:hAnsi="仿宋" w:eastAsia="仿宋" w:cs="仿宋"/>
          <w:color w:val="auto"/>
          <w:sz w:val="24"/>
          <w:szCs w:val="24"/>
          <w:vertAlign w:val="subscript"/>
          <w:lang w:val="en-US" w:eastAsia="zh-CN"/>
        </w:rPr>
        <w:t>6</w:t>
      </w:r>
      <w:r>
        <w:rPr>
          <w:rFonts w:hint="eastAsia" w:ascii="仿宋" w:hAnsi="仿宋" w:eastAsia="仿宋" w:cs="仿宋"/>
          <w:color w:val="auto"/>
          <w:sz w:val="24"/>
          <w:szCs w:val="24"/>
          <w:vertAlign w:val="baseline"/>
          <w:lang w:val="en-US" w:eastAsia="zh-CN"/>
        </w:rPr>
        <w:t>-C</w:t>
      </w:r>
      <w:r>
        <w:rPr>
          <w:rFonts w:hint="eastAsia" w:ascii="仿宋" w:hAnsi="仿宋" w:eastAsia="仿宋" w:cs="仿宋"/>
          <w:color w:val="auto"/>
          <w:sz w:val="24"/>
          <w:szCs w:val="24"/>
          <w:vertAlign w:val="subscript"/>
          <w:lang w:val="en-US" w:eastAsia="zh-CN"/>
        </w:rPr>
        <w:t>9</w:t>
      </w:r>
      <w:r>
        <w:rPr>
          <w:rFonts w:hint="eastAsia" w:ascii="仿宋" w:hAnsi="仿宋" w:eastAsia="仿宋" w:cs="仿宋"/>
          <w:color w:val="auto"/>
          <w:sz w:val="24"/>
          <w:szCs w:val="24"/>
          <w:vertAlign w:val="baseline"/>
          <w:lang w:val="en-US" w:eastAsia="zh-CN"/>
        </w:rPr>
        <w:t>）、锑、锡、锌、硒、硼、丙酮、苯酚、甲醛、</w:t>
      </w:r>
      <w:r>
        <w:rPr>
          <w:rFonts w:hint="eastAsia" w:ascii="仿宋" w:hAnsi="仿宋" w:eastAsia="仿宋" w:cs="仿宋"/>
          <w:color w:val="auto"/>
          <w:sz w:val="24"/>
          <w:szCs w:val="24"/>
          <w:lang w:val="en-US" w:eastAsia="zh-CN"/>
        </w:rPr>
        <w:t>甲醇</w:t>
      </w:r>
      <w:r>
        <w:rPr>
          <w:rFonts w:hint="eastAsia" w:ascii="仿宋" w:hAnsi="仿宋" w:eastAsia="仿宋" w:cs="仿宋"/>
          <w:color w:val="auto"/>
          <w:sz w:val="24"/>
          <w:szCs w:val="24"/>
          <w:vertAlign w:val="baseline"/>
          <w:lang w:val="en-US" w:eastAsia="zh-CN"/>
        </w:rPr>
        <w:t>、丙烯酸乙酯、甲基叔丁基醚、</w:t>
      </w:r>
      <w:r>
        <w:rPr>
          <w:rFonts w:hint="eastAsia" w:ascii="仿宋" w:hAnsi="仿宋" w:eastAsia="仿宋" w:cs="仿宋"/>
          <w:b w:val="0"/>
          <w:bCs w:val="0"/>
          <w:color w:val="auto"/>
          <w:kern w:val="2"/>
          <w:sz w:val="24"/>
          <w:szCs w:val="24"/>
          <w:lang w:val="en-US" w:eastAsia="zh-CN" w:bidi="ar-SA"/>
        </w:rPr>
        <w:t>二甲基甲酰胺、三氯苯（1,2,3三氯苯、1,2,4三氯苯）</w:t>
      </w:r>
      <w:r>
        <w:rPr>
          <w:rFonts w:hint="eastAsia" w:ascii="仿宋" w:hAnsi="仿宋" w:eastAsia="仿宋" w:cs="仿宋"/>
          <w:color w:val="auto"/>
          <w:sz w:val="24"/>
          <w:szCs w:val="24"/>
          <w:vertAlign w:val="baseline"/>
          <w:lang w:val="en-US" w:eastAsia="zh-CN"/>
        </w:rPr>
        <w:t>、三溴甲烷、</w:t>
      </w:r>
      <w:r>
        <w:rPr>
          <w:rFonts w:hint="eastAsia" w:ascii="仿宋" w:hAnsi="仿宋" w:eastAsia="仿宋" w:cs="仿宋"/>
          <w:b w:val="0"/>
          <w:bCs w:val="0"/>
          <w:color w:val="auto"/>
          <w:kern w:val="2"/>
          <w:sz w:val="24"/>
          <w:szCs w:val="24"/>
          <w:lang w:val="en-US" w:eastAsia="zh-CN" w:bidi="ar-SA"/>
        </w:rPr>
        <w:t>邻苯二酚、三乙胺、</w:t>
      </w:r>
      <w:r>
        <w:rPr>
          <w:rFonts w:hint="eastAsia" w:ascii="仿宋" w:hAnsi="仿宋" w:eastAsia="仿宋" w:cs="仿宋"/>
          <w:color w:val="auto"/>
          <w:sz w:val="24"/>
          <w:szCs w:val="24"/>
          <w:vertAlign w:val="baseline"/>
          <w:lang w:val="en-US" w:eastAsia="zh-CN"/>
        </w:rPr>
        <w:t>苯胺类及联苯胺类（2-萘胺、联苯胺、2-甲氧基苯胺、2,6-二甲基苯胺、4-甲基苯胺、2-甲基苯胺、2,4-二甲基苯胺、3-氯苯胺、3,3-二氯联苯胺、4-氯苯胺、4-硝基苯胺、3-硝基苯胺、3-甲基苯胺、N-亚硝基二苯胺）。</w:t>
      </w:r>
    </w:p>
    <w:p>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仿宋" w:hAnsi="仿宋" w:eastAsia="仿宋" w:cs="仿宋"/>
          <w:color w:val="auto"/>
          <w:szCs w:val="21"/>
          <w:lang w:val="en-US" w:eastAsia="zh-CN"/>
        </w:rPr>
      </w:pPr>
      <w:r>
        <w:rPr>
          <w:rFonts w:hint="default" w:ascii="Times New Roman" w:hAnsi="Times New Roman" w:eastAsia="仿宋" w:cs="Times New Roman"/>
          <w:b w:val="0"/>
          <w:bCs w:val="0"/>
          <w:color w:val="auto"/>
          <w:kern w:val="2"/>
          <w:sz w:val="24"/>
          <w:szCs w:val="24"/>
          <w:highlight w:val="none"/>
          <w:lang w:val="en-US" w:eastAsia="zh-CN" w:bidi="ar-SA"/>
        </w:rPr>
        <w:t>本次调查地块内</w:t>
      </w:r>
      <w:r>
        <w:rPr>
          <w:rFonts w:hint="eastAsia" w:ascii="仿宋" w:hAnsi="仿宋" w:eastAsia="仿宋" w:cs="仿宋"/>
          <w:color w:val="auto"/>
          <w:lang w:val="en-US" w:eastAsia="zh-CN"/>
        </w:rPr>
        <w:t>共布设9个地下水监测井（包含一个地下水对照采样点），井深不少于6m，采集12个地下水样品（包含3个平行样），监测项目包括：</w:t>
      </w:r>
      <w:r>
        <w:rPr>
          <w:rFonts w:hint="eastAsia" w:ascii="仿宋" w:hAnsi="仿宋" w:eastAsia="仿宋" w:cs="仿宋"/>
          <w:color w:val="auto"/>
          <w:szCs w:val="21"/>
          <w:lang w:val="en-US" w:eastAsia="zh-CN"/>
        </w:rPr>
        <w:t>pH、GB36660中表1基本项目45项、色度、氨氮、硫化物、氯化物、硫酸盐、耗氧量、硝酸盐、亚硝酸盐、氟化物、挥发酚、阴离子表面活性剂、嗅和味、浑浊度、肉眼可见物、总硬度、溶解性总固体、铁、锰、铝、钠、氰化物、碘化物、石油烃（C</w:t>
      </w:r>
      <w:r>
        <w:rPr>
          <w:rFonts w:hint="eastAsia" w:ascii="仿宋" w:hAnsi="仿宋" w:eastAsia="仿宋" w:cs="仿宋"/>
          <w:color w:val="auto"/>
          <w:szCs w:val="21"/>
          <w:vertAlign w:val="subscript"/>
          <w:lang w:val="en-US" w:eastAsia="zh-CN"/>
        </w:rPr>
        <w:t>10</w:t>
      </w:r>
      <w:r>
        <w:rPr>
          <w:rFonts w:hint="eastAsia" w:ascii="仿宋" w:hAnsi="仿宋" w:eastAsia="仿宋" w:cs="仿宋"/>
          <w:color w:val="auto"/>
          <w:szCs w:val="21"/>
          <w:lang w:val="en-US" w:eastAsia="zh-CN"/>
        </w:rPr>
        <w:t>-C</w:t>
      </w:r>
      <w:r>
        <w:rPr>
          <w:rFonts w:hint="eastAsia" w:ascii="仿宋" w:hAnsi="仿宋" w:eastAsia="仿宋" w:cs="仿宋"/>
          <w:color w:val="auto"/>
          <w:szCs w:val="21"/>
          <w:vertAlign w:val="subscript"/>
          <w:lang w:val="en-US" w:eastAsia="zh-CN"/>
        </w:rPr>
        <w:t>40</w:t>
      </w:r>
      <w:r>
        <w:rPr>
          <w:rFonts w:hint="eastAsia" w:ascii="仿宋" w:hAnsi="仿宋" w:eastAsia="仿宋" w:cs="仿宋"/>
          <w:color w:val="auto"/>
          <w:szCs w:val="21"/>
          <w:lang w:val="en-US" w:eastAsia="zh-CN"/>
        </w:rPr>
        <w:t>）、石油烃（C</w:t>
      </w:r>
      <w:r>
        <w:rPr>
          <w:rFonts w:hint="eastAsia" w:ascii="仿宋" w:hAnsi="仿宋" w:eastAsia="仿宋" w:cs="仿宋"/>
          <w:color w:val="auto"/>
          <w:szCs w:val="21"/>
          <w:vertAlign w:val="subscript"/>
          <w:lang w:val="en-US" w:eastAsia="zh-CN"/>
        </w:rPr>
        <w:t>6</w:t>
      </w:r>
      <w:r>
        <w:rPr>
          <w:rFonts w:hint="eastAsia" w:ascii="仿宋" w:hAnsi="仿宋" w:eastAsia="仿宋" w:cs="仿宋"/>
          <w:color w:val="auto"/>
          <w:szCs w:val="21"/>
          <w:lang w:val="en-US" w:eastAsia="zh-CN"/>
        </w:rPr>
        <w:t>-C</w:t>
      </w:r>
      <w:r>
        <w:rPr>
          <w:rFonts w:hint="eastAsia" w:ascii="仿宋" w:hAnsi="仿宋" w:eastAsia="仿宋" w:cs="仿宋"/>
          <w:color w:val="auto"/>
          <w:szCs w:val="21"/>
          <w:vertAlign w:val="subscript"/>
          <w:lang w:val="en-US" w:eastAsia="zh-CN"/>
        </w:rPr>
        <w:t>9</w:t>
      </w:r>
      <w:r>
        <w:rPr>
          <w:rFonts w:hint="eastAsia" w:ascii="仿宋" w:hAnsi="仿宋" w:eastAsia="仿宋" w:cs="仿宋"/>
          <w:color w:val="auto"/>
          <w:szCs w:val="21"/>
          <w:lang w:val="en-US" w:eastAsia="zh-CN"/>
        </w:rPr>
        <w:t>）、锑、锡、锌、硒、硼、丙酮、苯酚、甲醛、甲醇、丙烯酸乙酯、甲基叔丁基醚、二甲基甲酰胺、1，2,3三氯苯、1,2,4三氯苯、三溴甲烷、邻苯二酚、三乙胺、可吸附有机卤素、苯胺类及联苯胺类（2-萘胺、联苯胺、2-甲氧基苯胺、2,6-二甲基苯胺、4-甲基苯胺、2-甲基苯胺、2,4-二甲基苯胺、3-氯苯胺、3,3-二氯联苯胺、4-氯苯胺、4-硝基苯胺、3-硝基苯胺）。</w:t>
      </w:r>
    </w:p>
    <w:p>
      <w:pPr>
        <w:keepNext w:val="0"/>
        <w:keepLines w:val="0"/>
        <w:pageBreakBefore w:val="0"/>
        <w:widowControl w:val="0"/>
        <w:numPr>
          <w:ilvl w:val="0"/>
          <w:numId w:val="3"/>
        </w:numPr>
        <w:kinsoku/>
        <w:wordWrap/>
        <w:overflowPunct/>
        <w:topLinePunct w:val="0"/>
        <w:autoSpaceDE/>
        <w:autoSpaceDN/>
        <w:bidi w:val="0"/>
        <w:adjustRightInd/>
        <w:snapToGrid/>
        <w:ind w:firstLine="482" w:firstLineChars="200"/>
        <w:textAlignment w:val="auto"/>
        <w:outlineLvl w:val="9"/>
        <w:rPr>
          <w:rFonts w:hint="eastAsia" w:ascii="仿宋" w:hAnsi="仿宋" w:eastAsia="仿宋" w:cs="仿宋"/>
          <w:b/>
          <w:bCs/>
          <w:color w:val="auto"/>
          <w:sz w:val="24"/>
          <w:szCs w:val="24"/>
          <w:lang w:val="en-US" w:eastAsia="zh-CN"/>
        </w:rPr>
      </w:pPr>
      <w:bookmarkStart w:id="14" w:name="_Toc4874"/>
      <w:bookmarkStart w:id="15" w:name="_Toc23280"/>
      <w:r>
        <w:rPr>
          <w:rFonts w:hint="eastAsia" w:ascii="仿宋" w:hAnsi="仿宋" w:eastAsia="仿宋" w:cs="仿宋"/>
          <w:b/>
          <w:bCs/>
          <w:color w:val="auto"/>
          <w:lang w:val="en-US" w:eastAsia="zh-CN"/>
        </w:rPr>
        <w:t>检测结果分析</w:t>
      </w:r>
      <w:bookmarkEnd w:id="14"/>
      <w:bookmarkEnd w:id="15"/>
    </w:p>
    <w:p>
      <w:pPr>
        <w:pStyle w:val="5"/>
        <w:keepNext w:val="0"/>
        <w:keepLines w:val="0"/>
        <w:pageBreakBefore w:val="0"/>
        <w:widowControl w:val="0"/>
        <w:kinsoku/>
        <w:wordWrap/>
        <w:overflowPunct/>
        <w:topLinePunct w:val="0"/>
        <w:autoSpaceDE/>
        <w:autoSpaceDN/>
        <w:bidi w:val="0"/>
        <w:adjustRightInd/>
        <w:snapToGrid/>
        <w:spacing w:after="0" w:afterLines="0"/>
        <w:ind w:firstLine="480" w:firstLineChars="200"/>
        <w:textAlignment w:val="auto"/>
        <w:rPr>
          <w:rFonts w:hint="eastAsia" w:ascii="Times New Roman" w:hAnsi="Times New Roman" w:eastAsia="仿宋" w:cs="Times New Roman"/>
          <w:color w:val="auto"/>
          <w:sz w:val="24"/>
          <w:szCs w:val="24"/>
          <w:lang w:val="en-US" w:eastAsia="zh-CN"/>
        </w:rPr>
      </w:pPr>
      <w:r>
        <w:rPr>
          <w:rFonts w:hint="eastAsia" w:ascii="仿宋" w:hAnsi="仿宋" w:eastAsia="仿宋" w:cs="仿宋"/>
          <w:color w:val="auto"/>
          <w:lang w:val="en-US" w:eastAsia="zh-CN"/>
        </w:rPr>
        <w:t>（1）土壤检测结果：</w:t>
      </w:r>
      <w:r>
        <w:rPr>
          <w:rFonts w:hint="eastAsia" w:ascii="仿宋" w:hAnsi="仿宋" w:eastAsia="仿宋" w:cs="仿宋"/>
          <w:color w:val="auto"/>
          <w:sz w:val="24"/>
          <w:szCs w:val="24"/>
        </w:rPr>
        <w:t>土壤各指标均未超过《土壤环境质量建设用地土壤污染风险管控标准（试行）》（GB36600-2018）、《深圳市建设用地土壤污染风险筛选值和管制值（DB4403_T67-2020）》、《河北省建设用地土壤污染风险筛选值(</w:t>
      </w:r>
      <w:r>
        <w:rPr>
          <w:rFonts w:hint="eastAsia" w:ascii="仿宋" w:hAnsi="仿宋" w:eastAsia="仿宋" w:cs="仿宋"/>
          <w:color w:val="auto"/>
          <w:sz w:val="24"/>
          <w:szCs w:val="24"/>
          <w:lang w:eastAsia="zh-CN"/>
        </w:rPr>
        <w:t>DB13/T5216-2020</w:t>
      </w:r>
      <w:r>
        <w:rPr>
          <w:rFonts w:hint="eastAsia" w:ascii="仿宋" w:hAnsi="仿宋" w:eastAsia="仿宋" w:cs="仿宋"/>
          <w:color w:val="auto"/>
          <w:sz w:val="24"/>
          <w:szCs w:val="24"/>
        </w:rPr>
        <w:t>）》、《黑龙江省土壤污染防治风险筛选指导值（试行）》（DB23/T3314-2022）</w:t>
      </w:r>
      <w:r>
        <w:rPr>
          <w:rFonts w:hint="eastAsia" w:ascii="仿宋" w:hAnsi="仿宋" w:eastAsia="仿宋" w:cs="仿宋"/>
          <w:color w:val="auto"/>
          <w:sz w:val="24"/>
          <w:szCs w:val="24"/>
          <w:lang w:eastAsia="zh-CN"/>
        </w:rPr>
        <w:t>、《江苏省 建设用地土壤污染风险筛选值（DB32/T 4712-2024）》</w:t>
      </w:r>
      <w:r>
        <w:rPr>
          <w:rFonts w:hint="eastAsia" w:ascii="仿宋" w:hAnsi="仿宋" w:eastAsia="仿宋" w:cs="仿宋"/>
          <w:color w:val="auto"/>
          <w:sz w:val="24"/>
          <w:szCs w:val="24"/>
        </w:rPr>
        <w:t>中</w:t>
      </w:r>
      <w:r>
        <w:rPr>
          <w:rFonts w:hint="eastAsia" w:ascii="仿宋" w:hAnsi="仿宋" w:eastAsia="仿宋" w:cs="仿宋"/>
          <w:color w:val="auto"/>
          <w:sz w:val="24"/>
          <w:szCs w:val="24"/>
          <w:lang w:eastAsia="zh-CN"/>
        </w:rPr>
        <w:t>第</w:t>
      </w:r>
      <w:r>
        <w:rPr>
          <w:rFonts w:hint="eastAsia" w:ascii="仿宋" w:hAnsi="仿宋" w:eastAsia="仿宋" w:cs="仿宋"/>
          <w:color w:val="auto"/>
          <w:sz w:val="24"/>
          <w:szCs w:val="24"/>
          <w:lang w:val="en-US" w:eastAsia="zh-CN"/>
        </w:rPr>
        <w:t>一</w:t>
      </w:r>
      <w:r>
        <w:rPr>
          <w:rFonts w:hint="eastAsia" w:ascii="仿宋" w:hAnsi="仿宋" w:eastAsia="仿宋" w:cs="仿宋"/>
          <w:color w:val="auto"/>
          <w:sz w:val="24"/>
          <w:szCs w:val="24"/>
          <w:lang w:eastAsia="zh-CN"/>
        </w:rPr>
        <w:t>类</w:t>
      </w:r>
      <w:r>
        <w:rPr>
          <w:rFonts w:hint="eastAsia" w:ascii="仿宋" w:hAnsi="仿宋" w:eastAsia="仿宋" w:cs="仿宋"/>
          <w:color w:val="auto"/>
          <w:sz w:val="24"/>
          <w:szCs w:val="24"/>
          <w:lang w:val="en-US" w:eastAsia="zh-CN"/>
        </w:rPr>
        <w:t>用地</w:t>
      </w:r>
      <w:r>
        <w:rPr>
          <w:rFonts w:hint="eastAsia" w:ascii="仿宋" w:hAnsi="仿宋" w:eastAsia="仿宋" w:cs="仿宋"/>
          <w:color w:val="auto"/>
          <w:sz w:val="24"/>
          <w:szCs w:val="24"/>
          <w:lang w:eastAsia="zh-CN"/>
        </w:rPr>
        <w:t>筛选值</w:t>
      </w:r>
      <w:r>
        <w:rPr>
          <w:rFonts w:hint="eastAsia" w:ascii="仿宋" w:hAnsi="仿宋" w:eastAsia="仿宋" w:cs="仿宋"/>
          <w:color w:val="auto"/>
          <w:sz w:val="24"/>
          <w:szCs w:val="24"/>
          <w:lang w:val="en-US" w:eastAsia="zh-CN"/>
        </w:rPr>
        <w:t>标准及《污染场地风险评估电子表格》计算出的风险控制值结果</w:t>
      </w:r>
      <w:r>
        <w:rPr>
          <w:rFonts w:hint="eastAsia" w:ascii="Times New Roman" w:hAnsi="Times New Roman" w:eastAsia="仿宋" w:cs="Times New Roman"/>
          <w:color w:val="auto"/>
          <w:sz w:val="24"/>
          <w:szCs w:val="24"/>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480" w:firstLineChars="200"/>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color w:val="auto"/>
          <w:kern w:val="2"/>
          <w:sz w:val="24"/>
          <w:szCs w:val="20"/>
          <w:lang w:val="en-US" w:eastAsia="zh-CN" w:bidi="ar-SA"/>
        </w:rPr>
        <w:t>（2）地下水检测结果：</w:t>
      </w:r>
      <w:r>
        <w:rPr>
          <w:rFonts w:hint="eastAsia" w:ascii="仿宋" w:hAnsi="仿宋" w:eastAsia="仿宋" w:cs="仿宋"/>
          <w:b w:val="0"/>
          <w:bCs w:val="0"/>
          <w:color w:val="auto"/>
          <w:kern w:val="2"/>
          <w:sz w:val="24"/>
          <w:szCs w:val="24"/>
          <w:highlight w:val="none"/>
          <w:lang w:val="en-US" w:eastAsia="zh-CN" w:bidi="ar-SA"/>
        </w:rPr>
        <w:t>除色度、总硬度、溶解性总固体、硫酸根、耗氧量、氨氮、硝酸根指标，其余检出指标均符合《地下水质量标准》（GB/T 14848-2017）中IV类水标准及《上海市建设用地土壤污染状况调查、风险评估、风险管控与修复方案编制、风险管控与修复效果评估工作的补充规定（试行）》（沪环土[2020]62号）第一类用地筛选值标准</w:t>
      </w:r>
      <w:r>
        <w:rPr>
          <w:rFonts w:hint="eastAsia" w:ascii="仿宋" w:hAnsi="仿宋" w:eastAsia="仿宋" w:cs="仿宋"/>
          <w:color w:val="auto"/>
          <w:kern w:val="2"/>
          <w:sz w:val="24"/>
          <w:szCs w:val="20"/>
          <w:lang w:val="en-US" w:eastAsia="zh-CN" w:bidi="ar-SA"/>
        </w:rPr>
        <w:t>。</w:t>
      </w:r>
      <w:r>
        <w:rPr>
          <w:rFonts w:hint="eastAsia" w:ascii="仿宋" w:hAnsi="仿宋" w:eastAsia="仿宋" w:cs="仿宋"/>
          <w:b w:val="0"/>
          <w:bCs w:val="0"/>
          <w:color w:val="auto"/>
          <w:kern w:val="2"/>
          <w:sz w:val="24"/>
          <w:szCs w:val="24"/>
          <w:highlight w:val="none"/>
          <w:lang w:val="en-US" w:eastAsia="zh-CN" w:bidi="ar-SA"/>
        </w:rPr>
        <w:t>色度、总硬度、溶解性总固体、硫酸根、耗氧量、氨氮超标，其中硫酸根、耗氧量、氨氮为本次调查地块的特征因子，超标原因可能为地块内及周边生产活动的长期影响，但均为常规化学指标且环境风险较低，无需进行进一步调查。硝酸盐不是</w:t>
      </w:r>
      <w:r>
        <w:rPr>
          <w:rFonts w:hint="default" w:ascii="Times New Roman" w:hAnsi="Times New Roman" w:eastAsia="仿宋" w:cs="Times New Roman"/>
          <w:color w:val="auto"/>
          <w:szCs w:val="21"/>
          <w:lang w:val="en-US" w:eastAsia="zh-CN"/>
        </w:rPr>
        <w:t>本次调查地块</w:t>
      </w:r>
      <w:r>
        <w:rPr>
          <w:rFonts w:hint="eastAsia" w:ascii="Times New Roman" w:hAnsi="Times New Roman" w:eastAsia="仿宋" w:cs="Times New Roman"/>
          <w:color w:val="auto"/>
          <w:szCs w:val="21"/>
          <w:lang w:val="en-US" w:eastAsia="zh-CN"/>
        </w:rPr>
        <w:t>内</w:t>
      </w:r>
      <w:r>
        <w:rPr>
          <w:rFonts w:hint="default" w:ascii="Times New Roman" w:hAnsi="Times New Roman" w:eastAsia="仿宋" w:cs="Times New Roman"/>
          <w:color w:val="auto"/>
          <w:szCs w:val="21"/>
          <w:lang w:val="en-US" w:eastAsia="zh-CN"/>
        </w:rPr>
        <w:t>的特征因子，</w:t>
      </w:r>
      <w:r>
        <w:rPr>
          <w:rFonts w:hint="eastAsia" w:ascii="Times New Roman" w:hAnsi="Times New Roman" w:eastAsia="仿宋" w:cs="Times New Roman"/>
          <w:color w:val="auto"/>
          <w:szCs w:val="21"/>
          <w:lang w:val="en-US" w:eastAsia="zh-CN"/>
        </w:rPr>
        <w:t>根据GB/T-14848-2017，硝酸盐为毒理性指标</w:t>
      </w:r>
      <w:r>
        <w:rPr>
          <w:rFonts w:hint="eastAsia" w:ascii="仿宋" w:hAnsi="仿宋" w:eastAsia="仿宋" w:cs="仿宋"/>
          <w:b w:val="0"/>
          <w:bCs w:val="0"/>
          <w:color w:val="auto"/>
          <w:kern w:val="2"/>
          <w:sz w:val="24"/>
          <w:szCs w:val="24"/>
          <w:highlight w:val="none"/>
          <w:lang w:val="en-US" w:eastAsia="zh-CN" w:bidi="ar-SA"/>
        </w:rPr>
        <w:t>超标点位为D1，超标倍数为6.1。地块南侧最近企业为南通皋鑫电子股份有限公司，根据《南通皋鑫电子股份有限公司2023年12月土壤、地下水自行监测报告》，个别点位硝酸盐检测值大于Ⅳ类水质标准，由于皋鑫电子位于地块上风向，废水跑冒滴漏、原辅料遗撒等对表层土壤产生影响，通过雨水淋溶等途径向深层土壤及地下水迁移，从而进一步影响本次调查地块。因此本次调查地块硝酸盐超标原因可能是由于南通皋鑫电子股份有限公司的废水跑冒滴漏、原辅料遗撒等导致的。以上超标污染物均不属于重点管控的土壤有毒有害物质，且根据《建设用地土壤污染风险评估技术导则》（HJ25.3-2019），污染物无暴露途径，对人体健康风险可接受，无需进行进一步调查。</w:t>
      </w:r>
    </w:p>
    <w:p>
      <w:pPr>
        <w:pStyle w:val="14"/>
        <w:keepNext w:val="0"/>
        <w:keepLines w:val="0"/>
        <w:pageBreakBefore w:val="0"/>
        <w:widowControl w:val="0"/>
        <w:kinsoku/>
        <w:wordWrap/>
        <w:overflowPunct/>
        <w:topLinePunct w:val="0"/>
        <w:autoSpaceDE/>
        <w:autoSpaceDN/>
        <w:bidi w:val="0"/>
        <w:adjustRightInd/>
        <w:snapToGrid/>
        <w:spacing w:after="0" w:afterLines="0"/>
        <w:ind w:firstLine="482" w:firstLineChars="200"/>
        <w:jc w:val="left"/>
        <w:textAlignment w:val="auto"/>
        <w:outlineLvl w:val="9"/>
        <w:rPr>
          <w:rFonts w:hint="eastAsia" w:ascii="仿宋" w:hAnsi="仿宋" w:eastAsia="仿宋" w:cs="仿宋"/>
          <w:b/>
          <w:bCs/>
          <w:color w:val="auto"/>
          <w:lang w:val="en-US" w:eastAsia="zh-CN"/>
        </w:rPr>
      </w:pPr>
      <w:bookmarkStart w:id="16" w:name="_Toc31493"/>
      <w:bookmarkStart w:id="17" w:name="_Toc3705"/>
      <w:r>
        <w:rPr>
          <w:rFonts w:hint="eastAsia" w:ascii="仿宋" w:hAnsi="仿宋" w:eastAsia="仿宋" w:cs="仿宋"/>
          <w:b/>
          <w:bCs/>
          <w:color w:val="auto"/>
          <w:lang w:val="en-US" w:eastAsia="zh-CN"/>
        </w:rPr>
        <w:t>四、结论</w:t>
      </w:r>
      <w:bookmarkEnd w:id="16"/>
      <w:bookmarkEnd w:id="17"/>
    </w:p>
    <w:p>
      <w:pPr>
        <w:pStyle w:val="14"/>
        <w:keepNext w:val="0"/>
        <w:keepLines w:val="0"/>
        <w:pageBreakBefore w:val="0"/>
        <w:widowControl w:val="0"/>
        <w:kinsoku/>
        <w:wordWrap/>
        <w:overflowPunct/>
        <w:topLinePunct w:val="0"/>
        <w:autoSpaceDE/>
        <w:autoSpaceDN/>
        <w:bidi w:val="0"/>
        <w:adjustRightInd/>
        <w:snapToGrid/>
        <w:spacing w:after="0" w:afterLines="0"/>
        <w:ind w:firstLine="480" w:firstLineChars="200"/>
        <w:jc w:val="left"/>
        <w:textAlignment w:val="auto"/>
        <w:rPr>
          <w:rFonts w:hint="eastAsia" w:ascii="仿宋" w:hAnsi="仿宋" w:eastAsia="仿宋" w:cs="仿宋"/>
          <w:b/>
          <w:bCs/>
          <w:color w:val="auto"/>
          <w:sz w:val="44"/>
          <w:szCs w:val="44"/>
          <w:lang w:val="en-US" w:eastAsia="zh-CN"/>
        </w:rPr>
      </w:pPr>
      <w:r>
        <w:rPr>
          <w:rFonts w:hint="eastAsia" w:ascii="仿宋" w:hAnsi="仿宋" w:eastAsia="仿宋" w:cs="仿宋"/>
          <w:color w:val="auto"/>
          <w:szCs w:val="21"/>
          <w:lang w:val="en-US" w:eastAsia="zh-CN"/>
        </w:rPr>
        <w:t>综合以上结果，该地块监测因子达到标准要求，该地块不属于污染地块，无需进行进一步调查。地块符合《土壤环境质量建设用地土壤污染风险管控标准（试行）》（GB36600-2018）中第一类用地筛选值要求，可规划为居住用地、道路用地用途使用。</w:t>
      </w:r>
    </w:p>
    <w:p>
      <w:pPr>
        <w:pStyle w:val="13"/>
        <w:rPr>
          <w:rFonts w:hint="eastAsia" w:ascii="仿宋" w:hAnsi="仿宋" w:eastAsia="仿宋" w:cs="仿宋"/>
          <w:color w:val="auto"/>
          <w:lang w:val="en-US" w:eastAsia="zh-CN"/>
        </w:rPr>
        <w:sectPr>
          <w:headerReference r:id="rId6" w:type="default"/>
          <w:footerReference r:id="rId7" w:type="default"/>
          <w:pgSz w:w="11906" w:h="16838"/>
          <w:pgMar w:top="1440" w:right="1800" w:bottom="1440" w:left="1800" w:header="851" w:footer="992" w:gutter="0"/>
          <w:pgBorders>
            <w:top w:val="none" w:sz="0" w:space="0"/>
            <w:left w:val="none" w:sz="0" w:space="0"/>
            <w:bottom w:val="none" w:sz="0" w:space="0"/>
            <w:right w:val="none" w:sz="0" w:space="0"/>
          </w:pgBorders>
          <w:pgNumType w:fmt="upperRoman" w:start="1"/>
          <w:cols w:space="720" w:num="1"/>
          <w:docGrid w:type="lines" w:linePitch="312" w:charSpace="0"/>
        </w:sectPr>
      </w:pPr>
    </w:p>
    <w:p>
      <w:pPr>
        <w:pStyle w:val="5"/>
        <w:keepNext w:val="0"/>
        <w:keepLines w:val="0"/>
        <w:pageBreakBefore w:val="0"/>
        <w:widowControl w:val="0"/>
        <w:kinsoku/>
        <w:wordWrap/>
        <w:overflowPunct/>
        <w:topLinePunct w:val="0"/>
        <w:autoSpaceDE/>
        <w:autoSpaceDN/>
        <w:bidi w:val="0"/>
        <w:adjustRightInd/>
        <w:snapToGrid/>
        <w:spacing w:after="0" w:afterLines="0" w:line="360" w:lineRule="auto"/>
        <w:ind w:leftChars="0" w:firstLine="0" w:firstLineChars="0"/>
        <w:jc w:val="center"/>
        <w:textAlignment w:val="auto"/>
        <w:rPr>
          <w:rFonts w:hint="eastAsia" w:ascii="仿宋" w:hAnsi="仿宋" w:eastAsia="仿宋" w:cs="仿宋"/>
          <w:b/>
          <w:bCs/>
          <w:color w:val="auto"/>
          <w:sz w:val="36"/>
          <w:szCs w:val="36"/>
          <w:lang w:val="en-US" w:eastAsia="zh-CN"/>
        </w:rPr>
      </w:pPr>
      <w:r>
        <w:rPr>
          <w:rFonts w:hint="eastAsia" w:ascii="仿宋" w:hAnsi="仿宋" w:eastAsia="仿宋" w:cs="仿宋"/>
          <w:b/>
          <w:bCs/>
          <w:color w:val="auto"/>
          <w:sz w:val="36"/>
          <w:szCs w:val="36"/>
          <w:lang w:val="en-US" w:eastAsia="zh-CN"/>
        </w:rPr>
        <w:t>目录</w:t>
      </w:r>
    </w:p>
    <w:p>
      <w:pPr>
        <w:pStyle w:val="10"/>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pP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TOC \o "1-2" \h \u </w:instrText>
      </w:r>
      <w:r>
        <w:rPr>
          <w:rFonts w:hint="eastAsia" w:ascii="仿宋" w:hAnsi="仿宋" w:eastAsia="仿宋" w:cs="仿宋"/>
          <w:color w:val="auto"/>
          <w:sz w:val="24"/>
          <w:szCs w:val="24"/>
        </w:rPr>
        <w:fldChar w:fldCharType="separate"/>
      </w: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_Toc17845 </w:instrText>
      </w:r>
      <w:r>
        <w:rPr>
          <w:rFonts w:hint="eastAsia" w:ascii="仿宋" w:hAnsi="仿宋" w:eastAsia="仿宋" w:cs="仿宋"/>
          <w:szCs w:val="24"/>
        </w:rPr>
        <w:fldChar w:fldCharType="separate"/>
      </w:r>
      <w:r>
        <w:rPr>
          <w:rFonts w:hint="eastAsia" w:ascii="仿宋" w:hAnsi="仿宋" w:eastAsia="仿宋" w:cs="仿宋"/>
          <w:bCs/>
          <w:szCs w:val="36"/>
          <w:lang w:val="en-US" w:eastAsia="zh-CN"/>
        </w:rPr>
        <w:t>摘 要</w:t>
      </w:r>
      <w:r>
        <w:tab/>
      </w:r>
      <w:r>
        <w:fldChar w:fldCharType="begin"/>
      </w:r>
      <w:r>
        <w:instrText xml:space="preserve"> PAGEREF _Toc17845 \h </w:instrText>
      </w:r>
      <w:r>
        <w:fldChar w:fldCharType="separate"/>
      </w:r>
      <w:r>
        <w:t>I</w:t>
      </w:r>
      <w:r>
        <w:fldChar w:fldCharType="end"/>
      </w:r>
      <w:r>
        <w:rPr>
          <w:rFonts w:hint="eastAsia" w:ascii="仿宋" w:hAnsi="仿宋" w:eastAsia="仿宋" w:cs="仿宋"/>
          <w:color w:val="auto"/>
          <w:szCs w:val="24"/>
        </w:rPr>
        <w:fldChar w:fldCharType="end"/>
      </w:r>
    </w:p>
    <w:p>
      <w:pPr>
        <w:pStyle w:val="10"/>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_Toc31206 </w:instrText>
      </w:r>
      <w:r>
        <w:rPr>
          <w:rFonts w:hint="eastAsia" w:ascii="仿宋" w:hAnsi="仿宋" w:eastAsia="仿宋" w:cs="仿宋"/>
          <w:szCs w:val="24"/>
        </w:rPr>
        <w:fldChar w:fldCharType="separate"/>
      </w:r>
      <w:r>
        <w:rPr>
          <w:rFonts w:hint="eastAsia" w:ascii="仿宋" w:hAnsi="仿宋" w:eastAsia="仿宋" w:cs="仿宋"/>
          <w:bCs w:val="0"/>
          <w:szCs w:val="36"/>
          <w:lang w:val="en-US" w:eastAsia="zh-CN"/>
        </w:rPr>
        <w:t>1  前言</w:t>
      </w:r>
      <w:r>
        <w:tab/>
      </w:r>
      <w:r>
        <w:fldChar w:fldCharType="begin"/>
      </w:r>
      <w:r>
        <w:instrText xml:space="preserve"> PAGEREF _Toc31206 \h </w:instrText>
      </w:r>
      <w:r>
        <w:fldChar w:fldCharType="separate"/>
      </w:r>
      <w:r>
        <w:t>1</w:t>
      </w:r>
      <w:r>
        <w:fldChar w:fldCharType="end"/>
      </w:r>
      <w:r>
        <w:rPr>
          <w:rFonts w:hint="eastAsia" w:ascii="仿宋" w:hAnsi="仿宋" w:eastAsia="仿宋" w:cs="仿宋"/>
          <w:color w:val="auto"/>
          <w:szCs w:val="24"/>
        </w:rPr>
        <w:fldChar w:fldCharType="end"/>
      </w:r>
    </w:p>
    <w:p>
      <w:pPr>
        <w:pStyle w:val="10"/>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_Toc20550 </w:instrText>
      </w:r>
      <w:r>
        <w:rPr>
          <w:rFonts w:hint="eastAsia" w:ascii="仿宋" w:hAnsi="仿宋" w:eastAsia="仿宋" w:cs="仿宋"/>
          <w:szCs w:val="24"/>
        </w:rPr>
        <w:fldChar w:fldCharType="separate"/>
      </w:r>
      <w:r>
        <w:rPr>
          <w:rFonts w:hint="eastAsia" w:ascii="仿宋" w:hAnsi="仿宋" w:eastAsia="仿宋" w:cs="仿宋"/>
          <w:bCs w:val="0"/>
          <w:szCs w:val="36"/>
          <w:lang w:val="en-US" w:eastAsia="zh-CN"/>
        </w:rPr>
        <w:t>2  概述</w:t>
      </w:r>
      <w:r>
        <w:tab/>
      </w:r>
      <w:r>
        <w:fldChar w:fldCharType="begin"/>
      </w:r>
      <w:r>
        <w:instrText xml:space="preserve"> PAGEREF _Toc20550 \h </w:instrText>
      </w:r>
      <w:r>
        <w:fldChar w:fldCharType="separate"/>
      </w:r>
      <w:r>
        <w:t>2</w:t>
      </w:r>
      <w:r>
        <w:fldChar w:fldCharType="end"/>
      </w:r>
      <w:r>
        <w:rPr>
          <w:rFonts w:hint="eastAsia" w:ascii="仿宋" w:hAnsi="仿宋" w:eastAsia="仿宋" w:cs="仿宋"/>
          <w:color w:val="auto"/>
          <w:szCs w:val="24"/>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_Toc24185 </w:instrText>
      </w:r>
      <w:r>
        <w:rPr>
          <w:rFonts w:hint="eastAsia" w:ascii="仿宋" w:hAnsi="仿宋" w:eastAsia="仿宋" w:cs="仿宋"/>
          <w:szCs w:val="24"/>
        </w:rPr>
        <w:fldChar w:fldCharType="separate"/>
      </w:r>
      <w:r>
        <w:rPr>
          <w:rFonts w:hint="eastAsia" w:ascii="仿宋" w:hAnsi="仿宋" w:eastAsia="仿宋" w:cs="仿宋"/>
          <w:bCs/>
          <w:szCs w:val="21"/>
          <w:lang w:val="en-US" w:eastAsia="zh-CN"/>
        </w:rPr>
        <w:t>2.1  调查目的和原则</w:t>
      </w:r>
      <w:r>
        <w:tab/>
      </w:r>
      <w:r>
        <w:fldChar w:fldCharType="begin"/>
      </w:r>
      <w:r>
        <w:instrText xml:space="preserve"> PAGEREF _Toc24185 \h </w:instrText>
      </w:r>
      <w:r>
        <w:fldChar w:fldCharType="separate"/>
      </w:r>
      <w:r>
        <w:t>2</w:t>
      </w:r>
      <w:r>
        <w:fldChar w:fldCharType="end"/>
      </w:r>
      <w:r>
        <w:rPr>
          <w:rFonts w:hint="eastAsia" w:ascii="仿宋" w:hAnsi="仿宋" w:eastAsia="仿宋" w:cs="仿宋"/>
          <w:color w:val="auto"/>
          <w:szCs w:val="24"/>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_Toc347 </w:instrText>
      </w:r>
      <w:r>
        <w:rPr>
          <w:rFonts w:hint="eastAsia" w:ascii="仿宋" w:hAnsi="仿宋" w:eastAsia="仿宋" w:cs="仿宋"/>
          <w:szCs w:val="24"/>
        </w:rPr>
        <w:fldChar w:fldCharType="separate"/>
      </w:r>
      <w:r>
        <w:rPr>
          <w:rFonts w:hint="eastAsia" w:ascii="仿宋" w:hAnsi="仿宋" w:eastAsia="仿宋" w:cs="仿宋"/>
          <w:bCs/>
          <w:szCs w:val="21"/>
          <w:lang w:val="en-US" w:eastAsia="zh-CN"/>
        </w:rPr>
        <w:t>2.2  调查范围</w:t>
      </w:r>
      <w:r>
        <w:tab/>
      </w:r>
      <w:r>
        <w:fldChar w:fldCharType="begin"/>
      </w:r>
      <w:r>
        <w:instrText xml:space="preserve"> PAGEREF _Toc347 \h </w:instrText>
      </w:r>
      <w:r>
        <w:fldChar w:fldCharType="separate"/>
      </w:r>
      <w:r>
        <w:t>2</w:t>
      </w:r>
      <w:r>
        <w:fldChar w:fldCharType="end"/>
      </w:r>
      <w:r>
        <w:rPr>
          <w:rFonts w:hint="eastAsia" w:ascii="仿宋" w:hAnsi="仿宋" w:eastAsia="仿宋" w:cs="仿宋"/>
          <w:color w:val="auto"/>
          <w:szCs w:val="24"/>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_Toc27635 </w:instrText>
      </w:r>
      <w:r>
        <w:rPr>
          <w:rFonts w:hint="eastAsia" w:ascii="仿宋" w:hAnsi="仿宋" w:eastAsia="仿宋" w:cs="仿宋"/>
          <w:szCs w:val="24"/>
        </w:rPr>
        <w:fldChar w:fldCharType="separate"/>
      </w:r>
      <w:r>
        <w:rPr>
          <w:rFonts w:hint="eastAsia" w:ascii="仿宋" w:hAnsi="仿宋" w:eastAsia="仿宋" w:cs="仿宋"/>
          <w:bCs/>
          <w:szCs w:val="21"/>
          <w:lang w:val="en-US" w:eastAsia="zh-CN"/>
        </w:rPr>
        <w:t>2.3  调查依据</w:t>
      </w:r>
      <w:r>
        <w:tab/>
      </w:r>
      <w:r>
        <w:fldChar w:fldCharType="begin"/>
      </w:r>
      <w:r>
        <w:instrText xml:space="preserve"> PAGEREF _Toc27635 \h </w:instrText>
      </w:r>
      <w:r>
        <w:fldChar w:fldCharType="separate"/>
      </w:r>
      <w:r>
        <w:t>5</w:t>
      </w:r>
      <w:r>
        <w:fldChar w:fldCharType="end"/>
      </w:r>
      <w:r>
        <w:rPr>
          <w:rFonts w:hint="eastAsia" w:ascii="仿宋" w:hAnsi="仿宋" w:eastAsia="仿宋" w:cs="仿宋"/>
          <w:color w:val="auto"/>
          <w:szCs w:val="24"/>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_Toc16225 </w:instrText>
      </w:r>
      <w:r>
        <w:rPr>
          <w:rFonts w:hint="eastAsia" w:ascii="仿宋" w:hAnsi="仿宋" w:eastAsia="仿宋" w:cs="仿宋"/>
          <w:szCs w:val="24"/>
        </w:rPr>
        <w:fldChar w:fldCharType="separate"/>
      </w:r>
      <w:r>
        <w:rPr>
          <w:rFonts w:hint="eastAsia" w:ascii="仿宋" w:hAnsi="仿宋" w:eastAsia="仿宋" w:cs="仿宋"/>
          <w:bCs w:val="0"/>
          <w:szCs w:val="28"/>
          <w:lang w:val="en-US" w:eastAsia="zh-CN"/>
        </w:rPr>
        <w:t>2.4  调查方法</w:t>
      </w:r>
      <w:r>
        <w:tab/>
      </w:r>
      <w:r>
        <w:fldChar w:fldCharType="begin"/>
      </w:r>
      <w:r>
        <w:instrText xml:space="preserve"> PAGEREF _Toc16225 \h </w:instrText>
      </w:r>
      <w:r>
        <w:fldChar w:fldCharType="separate"/>
      </w:r>
      <w:r>
        <w:t>8</w:t>
      </w:r>
      <w:r>
        <w:fldChar w:fldCharType="end"/>
      </w:r>
      <w:r>
        <w:rPr>
          <w:rFonts w:hint="eastAsia" w:ascii="仿宋" w:hAnsi="仿宋" w:eastAsia="仿宋" w:cs="仿宋"/>
          <w:color w:val="auto"/>
          <w:szCs w:val="24"/>
        </w:rPr>
        <w:fldChar w:fldCharType="end"/>
      </w:r>
    </w:p>
    <w:p>
      <w:pPr>
        <w:pStyle w:val="10"/>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_Toc9384 </w:instrText>
      </w:r>
      <w:r>
        <w:rPr>
          <w:rFonts w:hint="eastAsia" w:ascii="仿宋" w:hAnsi="仿宋" w:eastAsia="仿宋" w:cs="仿宋"/>
          <w:szCs w:val="24"/>
        </w:rPr>
        <w:fldChar w:fldCharType="separate"/>
      </w:r>
      <w:r>
        <w:rPr>
          <w:rFonts w:hint="eastAsia" w:ascii="仿宋" w:hAnsi="仿宋" w:eastAsia="仿宋" w:cs="仿宋"/>
          <w:bCs w:val="0"/>
          <w:szCs w:val="36"/>
          <w:lang w:val="en-US" w:eastAsia="zh-CN"/>
        </w:rPr>
        <w:t>3  地块概况</w:t>
      </w:r>
      <w:r>
        <w:tab/>
      </w:r>
      <w:r>
        <w:fldChar w:fldCharType="begin"/>
      </w:r>
      <w:r>
        <w:instrText xml:space="preserve"> PAGEREF _Toc9384 \h </w:instrText>
      </w:r>
      <w:r>
        <w:fldChar w:fldCharType="separate"/>
      </w:r>
      <w:r>
        <w:t>11</w:t>
      </w:r>
      <w:r>
        <w:fldChar w:fldCharType="end"/>
      </w:r>
      <w:r>
        <w:rPr>
          <w:rFonts w:hint="eastAsia" w:ascii="仿宋" w:hAnsi="仿宋" w:eastAsia="仿宋" w:cs="仿宋"/>
          <w:color w:val="auto"/>
          <w:szCs w:val="24"/>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_Toc19085 </w:instrText>
      </w:r>
      <w:r>
        <w:rPr>
          <w:rFonts w:hint="eastAsia" w:ascii="仿宋" w:hAnsi="仿宋" w:eastAsia="仿宋" w:cs="仿宋"/>
          <w:szCs w:val="24"/>
        </w:rPr>
        <w:fldChar w:fldCharType="separate"/>
      </w:r>
      <w:r>
        <w:rPr>
          <w:rFonts w:hint="eastAsia" w:ascii="仿宋" w:hAnsi="仿宋" w:eastAsia="仿宋" w:cs="仿宋"/>
          <w:bCs w:val="0"/>
          <w:szCs w:val="28"/>
          <w:lang w:val="en-US" w:eastAsia="zh-CN"/>
        </w:rPr>
        <w:t>3.1 区域环境状况</w:t>
      </w:r>
      <w:r>
        <w:tab/>
      </w:r>
      <w:r>
        <w:fldChar w:fldCharType="begin"/>
      </w:r>
      <w:r>
        <w:instrText xml:space="preserve"> PAGEREF _Toc19085 \h </w:instrText>
      </w:r>
      <w:r>
        <w:fldChar w:fldCharType="separate"/>
      </w:r>
      <w:r>
        <w:t>11</w:t>
      </w:r>
      <w:r>
        <w:fldChar w:fldCharType="end"/>
      </w:r>
      <w:r>
        <w:rPr>
          <w:rFonts w:hint="eastAsia" w:ascii="仿宋" w:hAnsi="仿宋" w:eastAsia="仿宋" w:cs="仿宋"/>
          <w:color w:val="auto"/>
          <w:szCs w:val="24"/>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_Toc14945 </w:instrText>
      </w:r>
      <w:r>
        <w:rPr>
          <w:rFonts w:hint="eastAsia" w:ascii="仿宋" w:hAnsi="仿宋" w:eastAsia="仿宋" w:cs="仿宋"/>
          <w:szCs w:val="24"/>
        </w:rPr>
        <w:fldChar w:fldCharType="separate"/>
      </w:r>
      <w:r>
        <w:rPr>
          <w:rFonts w:hint="eastAsia" w:ascii="仿宋" w:hAnsi="仿宋" w:eastAsia="仿宋" w:cs="仿宋"/>
          <w:bCs w:val="0"/>
          <w:szCs w:val="28"/>
          <w:lang w:val="en-US" w:eastAsia="zh-CN"/>
        </w:rPr>
        <w:t>3.2 敏感目标</w:t>
      </w:r>
      <w:r>
        <w:tab/>
      </w:r>
      <w:r>
        <w:fldChar w:fldCharType="begin"/>
      </w:r>
      <w:r>
        <w:instrText xml:space="preserve"> PAGEREF _Toc14945 \h </w:instrText>
      </w:r>
      <w:r>
        <w:fldChar w:fldCharType="separate"/>
      </w:r>
      <w:r>
        <w:t>20</w:t>
      </w:r>
      <w:r>
        <w:fldChar w:fldCharType="end"/>
      </w:r>
      <w:r>
        <w:rPr>
          <w:rFonts w:hint="eastAsia" w:ascii="仿宋" w:hAnsi="仿宋" w:eastAsia="仿宋" w:cs="仿宋"/>
          <w:color w:val="auto"/>
          <w:szCs w:val="24"/>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_Toc24134 </w:instrText>
      </w:r>
      <w:r>
        <w:rPr>
          <w:rFonts w:hint="eastAsia" w:ascii="仿宋" w:hAnsi="仿宋" w:eastAsia="仿宋" w:cs="仿宋"/>
          <w:szCs w:val="24"/>
        </w:rPr>
        <w:fldChar w:fldCharType="separate"/>
      </w:r>
      <w:r>
        <w:rPr>
          <w:rFonts w:hint="eastAsia" w:ascii="仿宋" w:hAnsi="仿宋" w:eastAsia="仿宋" w:cs="仿宋"/>
          <w:bCs w:val="0"/>
          <w:szCs w:val="28"/>
          <w:lang w:val="en-US" w:eastAsia="zh-CN"/>
        </w:rPr>
        <w:t>3.3 地块的使用现状和历史</w:t>
      </w:r>
      <w:r>
        <w:tab/>
      </w:r>
      <w:r>
        <w:fldChar w:fldCharType="begin"/>
      </w:r>
      <w:r>
        <w:instrText xml:space="preserve"> PAGEREF _Toc24134 \h </w:instrText>
      </w:r>
      <w:r>
        <w:fldChar w:fldCharType="separate"/>
      </w:r>
      <w:r>
        <w:t>22</w:t>
      </w:r>
      <w:r>
        <w:fldChar w:fldCharType="end"/>
      </w:r>
      <w:r>
        <w:rPr>
          <w:rFonts w:hint="eastAsia" w:ascii="仿宋" w:hAnsi="仿宋" w:eastAsia="仿宋" w:cs="仿宋"/>
          <w:color w:val="auto"/>
          <w:szCs w:val="24"/>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_Toc4263 </w:instrText>
      </w:r>
      <w:r>
        <w:rPr>
          <w:rFonts w:hint="eastAsia" w:ascii="仿宋" w:hAnsi="仿宋" w:eastAsia="仿宋" w:cs="仿宋"/>
          <w:szCs w:val="24"/>
        </w:rPr>
        <w:fldChar w:fldCharType="separate"/>
      </w:r>
      <w:r>
        <w:rPr>
          <w:rFonts w:hint="eastAsia" w:ascii="仿宋" w:hAnsi="仿宋" w:eastAsia="仿宋" w:cs="仿宋"/>
          <w:bCs w:val="0"/>
          <w:szCs w:val="28"/>
          <w:lang w:val="en-US" w:eastAsia="zh-CN"/>
        </w:rPr>
        <w:t>3.4 相邻地块的使用现状和历史</w:t>
      </w:r>
      <w:r>
        <w:tab/>
      </w:r>
      <w:r>
        <w:fldChar w:fldCharType="begin"/>
      </w:r>
      <w:r>
        <w:instrText xml:space="preserve"> PAGEREF _Toc4263 \h </w:instrText>
      </w:r>
      <w:r>
        <w:fldChar w:fldCharType="separate"/>
      </w:r>
      <w:r>
        <w:t>29</w:t>
      </w:r>
      <w:r>
        <w:fldChar w:fldCharType="end"/>
      </w:r>
      <w:r>
        <w:rPr>
          <w:rFonts w:hint="eastAsia" w:ascii="仿宋" w:hAnsi="仿宋" w:eastAsia="仿宋" w:cs="仿宋"/>
          <w:color w:val="auto"/>
          <w:szCs w:val="24"/>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_Toc30406 </w:instrText>
      </w:r>
      <w:r>
        <w:rPr>
          <w:rFonts w:hint="eastAsia" w:ascii="仿宋" w:hAnsi="仿宋" w:eastAsia="仿宋" w:cs="仿宋"/>
          <w:szCs w:val="24"/>
        </w:rPr>
        <w:fldChar w:fldCharType="separate"/>
      </w:r>
      <w:r>
        <w:rPr>
          <w:rFonts w:hint="eastAsia" w:ascii="仿宋" w:hAnsi="仿宋" w:eastAsia="仿宋" w:cs="仿宋"/>
          <w:bCs w:val="0"/>
          <w:szCs w:val="28"/>
          <w:lang w:val="en-US" w:eastAsia="zh-CN"/>
        </w:rPr>
        <w:t>3.5 人员访谈</w:t>
      </w:r>
      <w:r>
        <w:tab/>
      </w:r>
      <w:r>
        <w:fldChar w:fldCharType="begin"/>
      </w:r>
      <w:r>
        <w:instrText xml:space="preserve"> PAGEREF _Toc30406 \h </w:instrText>
      </w:r>
      <w:r>
        <w:fldChar w:fldCharType="separate"/>
      </w:r>
      <w:r>
        <w:t>40</w:t>
      </w:r>
      <w:r>
        <w:fldChar w:fldCharType="end"/>
      </w:r>
      <w:r>
        <w:rPr>
          <w:rFonts w:hint="eastAsia" w:ascii="仿宋" w:hAnsi="仿宋" w:eastAsia="仿宋" w:cs="仿宋"/>
          <w:color w:val="auto"/>
          <w:szCs w:val="24"/>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_Toc1617 </w:instrText>
      </w:r>
      <w:r>
        <w:rPr>
          <w:rFonts w:hint="eastAsia" w:ascii="仿宋" w:hAnsi="仿宋" w:eastAsia="仿宋" w:cs="仿宋"/>
          <w:szCs w:val="24"/>
        </w:rPr>
        <w:fldChar w:fldCharType="separate"/>
      </w:r>
      <w:r>
        <w:rPr>
          <w:rFonts w:hint="eastAsia" w:ascii="仿宋" w:hAnsi="仿宋" w:eastAsia="仿宋" w:cs="仿宋"/>
          <w:bCs w:val="0"/>
          <w:szCs w:val="28"/>
          <w:lang w:val="en-US" w:eastAsia="zh-CN"/>
        </w:rPr>
        <w:t>3.6地块规划</w:t>
      </w:r>
      <w:r>
        <w:tab/>
      </w:r>
      <w:r>
        <w:fldChar w:fldCharType="begin"/>
      </w:r>
      <w:r>
        <w:instrText xml:space="preserve"> PAGEREF _Toc1617 \h </w:instrText>
      </w:r>
      <w:r>
        <w:fldChar w:fldCharType="separate"/>
      </w:r>
      <w:r>
        <w:t>48</w:t>
      </w:r>
      <w:r>
        <w:fldChar w:fldCharType="end"/>
      </w:r>
      <w:r>
        <w:rPr>
          <w:rFonts w:hint="eastAsia" w:ascii="仿宋" w:hAnsi="仿宋" w:eastAsia="仿宋" w:cs="仿宋"/>
          <w:color w:val="auto"/>
          <w:szCs w:val="24"/>
        </w:rPr>
        <w:fldChar w:fldCharType="end"/>
      </w:r>
    </w:p>
    <w:p>
      <w:pPr>
        <w:pStyle w:val="10"/>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_Toc9448 </w:instrText>
      </w:r>
      <w:r>
        <w:rPr>
          <w:rFonts w:hint="eastAsia" w:ascii="仿宋" w:hAnsi="仿宋" w:eastAsia="仿宋" w:cs="仿宋"/>
          <w:szCs w:val="24"/>
        </w:rPr>
        <w:fldChar w:fldCharType="separate"/>
      </w:r>
      <w:r>
        <w:rPr>
          <w:rFonts w:hint="eastAsia" w:ascii="仿宋" w:hAnsi="仿宋" w:eastAsia="仿宋" w:cs="仿宋"/>
          <w:bCs w:val="0"/>
          <w:szCs w:val="36"/>
          <w:lang w:val="en-US" w:eastAsia="zh-CN"/>
        </w:rPr>
        <w:t>4  地块污染识别及分析</w:t>
      </w:r>
      <w:r>
        <w:tab/>
      </w:r>
      <w:r>
        <w:fldChar w:fldCharType="begin"/>
      </w:r>
      <w:r>
        <w:instrText xml:space="preserve"> PAGEREF _Toc9448 \h </w:instrText>
      </w:r>
      <w:r>
        <w:fldChar w:fldCharType="separate"/>
      </w:r>
      <w:r>
        <w:t>52</w:t>
      </w:r>
      <w:r>
        <w:fldChar w:fldCharType="end"/>
      </w:r>
      <w:r>
        <w:rPr>
          <w:rFonts w:hint="eastAsia" w:ascii="仿宋" w:hAnsi="仿宋" w:eastAsia="仿宋" w:cs="仿宋"/>
          <w:color w:val="auto"/>
          <w:szCs w:val="24"/>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_Toc26795 </w:instrText>
      </w:r>
      <w:r>
        <w:rPr>
          <w:rFonts w:hint="eastAsia" w:ascii="仿宋" w:hAnsi="仿宋" w:eastAsia="仿宋" w:cs="仿宋"/>
          <w:szCs w:val="24"/>
        </w:rPr>
        <w:fldChar w:fldCharType="separate"/>
      </w:r>
      <w:r>
        <w:rPr>
          <w:rFonts w:hint="eastAsia" w:ascii="仿宋" w:hAnsi="仿宋" w:eastAsia="仿宋" w:cs="仿宋"/>
          <w:bCs w:val="0"/>
          <w:szCs w:val="28"/>
          <w:lang w:val="en-US" w:eastAsia="zh-CN"/>
        </w:rPr>
        <w:t>4.1污染识别的目的</w:t>
      </w:r>
      <w:r>
        <w:tab/>
      </w:r>
      <w:r>
        <w:fldChar w:fldCharType="begin"/>
      </w:r>
      <w:r>
        <w:instrText xml:space="preserve"> PAGEREF _Toc26795 \h </w:instrText>
      </w:r>
      <w:r>
        <w:fldChar w:fldCharType="separate"/>
      </w:r>
      <w:r>
        <w:t>52</w:t>
      </w:r>
      <w:r>
        <w:fldChar w:fldCharType="end"/>
      </w:r>
      <w:r>
        <w:rPr>
          <w:rFonts w:hint="eastAsia" w:ascii="仿宋" w:hAnsi="仿宋" w:eastAsia="仿宋" w:cs="仿宋"/>
          <w:color w:val="auto"/>
          <w:szCs w:val="24"/>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_Toc26940 </w:instrText>
      </w:r>
      <w:r>
        <w:rPr>
          <w:rFonts w:hint="eastAsia" w:ascii="仿宋" w:hAnsi="仿宋" w:eastAsia="仿宋" w:cs="仿宋"/>
          <w:szCs w:val="24"/>
        </w:rPr>
        <w:fldChar w:fldCharType="separate"/>
      </w:r>
      <w:r>
        <w:rPr>
          <w:rFonts w:hint="eastAsia" w:ascii="仿宋" w:hAnsi="仿宋" w:eastAsia="仿宋" w:cs="仿宋"/>
          <w:bCs w:val="0"/>
          <w:szCs w:val="28"/>
          <w:lang w:val="en-US" w:eastAsia="zh-CN"/>
        </w:rPr>
        <w:t>4.2资料收集结果</w:t>
      </w:r>
      <w:r>
        <w:tab/>
      </w:r>
      <w:r>
        <w:fldChar w:fldCharType="begin"/>
      </w:r>
      <w:r>
        <w:instrText xml:space="preserve"> PAGEREF _Toc26940 \h </w:instrText>
      </w:r>
      <w:r>
        <w:fldChar w:fldCharType="separate"/>
      </w:r>
      <w:r>
        <w:t>52</w:t>
      </w:r>
      <w:r>
        <w:fldChar w:fldCharType="end"/>
      </w:r>
      <w:r>
        <w:rPr>
          <w:rFonts w:hint="eastAsia" w:ascii="仿宋" w:hAnsi="仿宋" w:eastAsia="仿宋" w:cs="仿宋"/>
          <w:color w:val="auto"/>
          <w:szCs w:val="24"/>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_Toc6354 </w:instrText>
      </w:r>
      <w:r>
        <w:rPr>
          <w:rFonts w:hint="eastAsia" w:ascii="仿宋" w:hAnsi="仿宋" w:eastAsia="仿宋" w:cs="仿宋"/>
          <w:szCs w:val="24"/>
        </w:rPr>
        <w:fldChar w:fldCharType="separate"/>
      </w:r>
      <w:r>
        <w:rPr>
          <w:rFonts w:hint="eastAsia" w:ascii="仿宋" w:hAnsi="仿宋" w:eastAsia="仿宋" w:cs="仿宋"/>
          <w:bCs w:val="0"/>
          <w:szCs w:val="28"/>
          <w:lang w:val="en-US" w:eastAsia="zh-CN"/>
        </w:rPr>
        <w:t>4.3 地块生产活动介绍及污染物识别</w:t>
      </w:r>
      <w:r>
        <w:tab/>
      </w:r>
      <w:r>
        <w:fldChar w:fldCharType="begin"/>
      </w:r>
      <w:r>
        <w:instrText xml:space="preserve"> PAGEREF _Toc6354 \h </w:instrText>
      </w:r>
      <w:r>
        <w:fldChar w:fldCharType="separate"/>
      </w:r>
      <w:r>
        <w:t>53</w:t>
      </w:r>
      <w:r>
        <w:fldChar w:fldCharType="end"/>
      </w:r>
      <w:r>
        <w:rPr>
          <w:rFonts w:hint="eastAsia" w:ascii="仿宋" w:hAnsi="仿宋" w:eastAsia="仿宋" w:cs="仿宋"/>
          <w:color w:val="auto"/>
          <w:szCs w:val="24"/>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_Toc12070 </w:instrText>
      </w:r>
      <w:r>
        <w:rPr>
          <w:rFonts w:hint="eastAsia" w:ascii="仿宋" w:hAnsi="仿宋" w:eastAsia="仿宋" w:cs="仿宋"/>
          <w:szCs w:val="24"/>
        </w:rPr>
        <w:fldChar w:fldCharType="separate"/>
      </w:r>
      <w:r>
        <w:rPr>
          <w:rFonts w:hint="eastAsia" w:ascii="仿宋" w:hAnsi="仿宋" w:eastAsia="仿宋" w:cs="仿宋"/>
          <w:bCs w:val="0"/>
          <w:szCs w:val="28"/>
          <w:lang w:val="en-US" w:eastAsia="zh-CN"/>
        </w:rPr>
        <w:t>4.4周边地块生产活动情况及污染识别</w:t>
      </w:r>
      <w:r>
        <w:tab/>
      </w:r>
      <w:r>
        <w:fldChar w:fldCharType="begin"/>
      </w:r>
      <w:r>
        <w:instrText xml:space="preserve"> PAGEREF _Toc12070 \h </w:instrText>
      </w:r>
      <w:r>
        <w:fldChar w:fldCharType="separate"/>
      </w:r>
      <w:r>
        <w:t>54</w:t>
      </w:r>
      <w:r>
        <w:fldChar w:fldCharType="end"/>
      </w:r>
      <w:r>
        <w:rPr>
          <w:rFonts w:hint="eastAsia" w:ascii="仿宋" w:hAnsi="仿宋" w:eastAsia="仿宋" w:cs="仿宋"/>
          <w:color w:val="auto"/>
          <w:szCs w:val="24"/>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_Toc8548 </w:instrText>
      </w:r>
      <w:r>
        <w:rPr>
          <w:rFonts w:hint="eastAsia" w:ascii="仿宋" w:hAnsi="仿宋" w:eastAsia="仿宋" w:cs="仿宋"/>
          <w:szCs w:val="24"/>
        </w:rPr>
        <w:fldChar w:fldCharType="separate"/>
      </w:r>
      <w:r>
        <w:rPr>
          <w:rFonts w:hint="eastAsia" w:ascii="仿宋" w:hAnsi="仿宋" w:eastAsia="仿宋" w:cs="仿宋"/>
          <w:bCs w:val="0"/>
          <w:szCs w:val="28"/>
          <w:lang w:val="en-US" w:eastAsia="zh-CN"/>
        </w:rPr>
        <w:t>4.5调查资料关联性分析</w:t>
      </w:r>
      <w:r>
        <w:tab/>
      </w:r>
      <w:r>
        <w:fldChar w:fldCharType="begin"/>
      </w:r>
      <w:r>
        <w:instrText xml:space="preserve"> PAGEREF _Toc8548 \h </w:instrText>
      </w:r>
      <w:r>
        <w:fldChar w:fldCharType="separate"/>
      </w:r>
      <w:r>
        <w:t>111</w:t>
      </w:r>
      <w:r>
        <w:fldChar w:fldCharType="end"/>
      </w:r>
      <w:r>
        <w:rPr>
          <w:rFonts w:hint="eastAsia" w:ascii="仿宋" w:hAnsi="仿宋" w:eastAsia="仿宋" w:cs="仿宋"/>
          <w:color w:val="auto"/>
          <w:szCs w:val="24"/>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_Toc8874 </w:instrText>
      </w:r>
      <w:r>
        <w:rPr>
          <w:rFonts w:hint="eastAsia" w:ascii="仿宋" w:hAnsi="仿宋" w:eastAsia="仿宋" w:cs="仿宋"/>
          <w:szCs w:val="24"/>
        </w:rPr>
        <w:fldChar w:fldCharType="separate"/>
      </w:r>
      <w:r>
        <w:rPr>
          <w:rFonts w:hint="eastAsia" w:ascii="仿宋" w:hAnsi="仿宋" w:eastAsia="仿宋" w:cs="仿宋"/>
          <w:bCs w:val="0"/>
          <w:szCs w:val="28"/>
          <w:lang w:val="en-US" w:eastAsia="zh-CN"/>
        </w:rPr>
        <w:t>4.6第一阶段土壤污染状况调查总结</w:t>
      </w:r>
      <w:r>
        <w:tab/>
      </w:r>
      <w:r>
        <w:fldChar w:fldCharType="begin"/>
      </w:r>
      <w:r>
        <w:instrText xml:space="preserve"> PAGEREF _Toc8874 \h </w:instrText>
      </w:r>
      <w:r>
        <w:fldChar w:fldCharType="separate"/>
      </w:r>
      <w:r>
        <w:t>113</w:t>
      </w:r>
      <w:r>
        <w:fldChar w:fldCharType="end"/>
      </w:r>
      <w:r>
        <w:rPr>
          <w:rFonts w:hint="eastAsia" w:ascii="仿宋" w:hAnsi="仿宋" w:eastAsia="仿宋" w:cs="仿宋"/>
          <w:color w:val="auto"/>
          <w:szCs w:val="24"/>
        </w:rPr>
        <w:fldChar w:fldCharType="end"/>
      </w:r>
    </w:p>
    <w:p>
      <w:pPr>
        <w:pStyle w:val="10"/>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_Toc28613 </w:instrText>
      </w:r>
      <w:r>
        <w:rPr>
          <w:rFonts w:hint="eastAsia" w:ascii="仿宋" w:hAnsi="仿宋" w:eastAsia="仿宋" w:cs="仿宋"/>
          <w:szCs w:val="24"/>
        </w:rPr>
        <w:fldChar w:fldCharType="separate"/>
      </w:r>
      <w:r>
        <w:rPr>
          <w:rFonts w:hint="eastAsia" w:ascii="仿宋" w:hAnsi="仿宋" w:eastAsia="仿宋" w:cs="仿宋"/>
          <w:bCs w:val="0"/>
          <w:kern w:val="0"/>
          <w:szCs w:val="36"/>
          <w:lang w:val="en-US" w:eastAsia="zh-CN" w:bidi="zh-CN"/>
        </w:rPr>
        <w:t>5  工作计划</w:t>
      </w:r>
      <w:r>
        <w:tab/>
      </w:r>
      <w:r>
        <w:fldChar w:fldCharType="begin"/>
      </w:r>
      <w:r>
        <w:instrText xml:space="preserve"> PAGEREF _Toc28613 \h </w:instrText>
      </w:r>
      <w:r>
        <w:fldChar w:fldCharType="separate"/>
      </w:r>
      <w:r>
        <w:t>116</w:t>
      </w:r>
      <w:r>
        <w:fldChar w:fldCharType="end"/>
      </w:r>
      <w:r>
        <w:rPr>
          <w:rFonts w:hint="eastAsia" w:ascii="仿宋" w:hAnsi="仿宋" w:eastAsia="仿宋" w:cs="仿宋"/>
          <w:color w:val="auto"/>
          <w:szCs w:val="24"/>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_Toc19168 </w:instrText>
      </w:r>
      <w:r>
        <w:rPr>
          <w:rFonts w:hint="eastAsia" w:ascii="仿宋" w:hAnsi="仿宋" w:eastAsia="仿宋" w:cs="仿宋"/>
          <w:szCs w:val="24"/>
        </w:rPr>
        <w:fldChar w:fldCharType="separate"/>
      </w:r>
      <w:r>
        <w:rPr>
          <w:rFonts w:hint="eastAsia" w:ascii="仿宋" w:hAnsi="仿宋" w:eastAsia="仿宋" w:cs="仿宋"/>
          <w:bCs w:val="0"/>
          <w:szCs w:val="28"/>
          <w:lang w:val="en-US" w:eastAsia="zh-CN"/>
        </w:rPr>
        <w:t>5.1 采样方案</w:t>
      </w:r>
      <w:r>
        <w:tab/>
      </w:r>
      <w:r>
        <w:fldChar w:fldCharType="begin"/>
      </w:r>
      <w:r>
        <w:instrText xml:space="preserve"> PAGEREF _Toc19168 \h </w:instrText>
      </w:r>
      <w:r>
        <w:fldChar w:fldCharType="separate"/>
      </w:r>
      <w:r>
        <w:t>116</w:t>
      </w:r>
      <w:r>
        <w:fldChar w:fldCharType="end"/>
      </w:r>
      <w:r>
        <w:rPr>
          <w:rFonts w:hint="eastAsia" w:ascii="仿宋" w:hAnsi="仿宋" w:eastAsia="仿宋" w:cs="仿宋"/>
          <w:color w:val="auto"/>
          <w:szCs w:val="24"/>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_Toc4792 </w:instrText>
      </w:r>
      <w:r>
        <w:rPr>
          <w:rFonts w:hint="eastAsia" w:ascii="仿宋" w:hAnsi="仿宋" w:eastAsia="仿宋" w:cs="仿宋"/>
          <w:szCs w:val="24"/>
        </w:rPr>
        <w:fldChar w:fldCharType="separate"/>
      </w:r>
      <w:r>
        <w:rPr>
          <w:rFonts w:hint="eastAsia" w:ascii="仿宋" w:hAnsi="仿宋" w:eastAsia="仿宋" w:cs="仿宋"/>
          <w:bCs w:val="0"/>
          <w:szCs w:val="28"/>
          <w:lang w:val="en-US" w:eastAsia="zh-CN"/>
        </w:rPr>
        <w:t>5.2 分析检测方案</w:t>
      </w:r>
      <w:r>
        <w:tab/>
      </w:r>
      <w:r>
        <w:fldChar w:fldCharType="begin"/>
      </w:r>
      <w:r>
        <w:instrText xml:space="preserve"> PAGEREF _Toc4792 \h </w:instrText>
      </w:r>
      <w:r>
        <w:fldChar w:fldCharType="separate"/>
      </w:r>
      <w:r>
        <w:t>139</w:t>
      </w:r>
      <w:r>
        <w:fldChar w:fldCharType="end"/>
      </w:r>
      <w:r>
        <w:rPr>
          <w:rFonts w:hint="eastAsia" w:ascii="仿宋" w:hAnsi="仿宋" w:eastAsia="仿宋" w:cs="仿宋"/>
          <w:color w:val="auto"/>
          <w:szCs w:val="24"/>
        </w:rPr>
        <w:fldChar w:fldCharType="end"/>
      </w:r>
    </w:p>
    <w:p>
      <w:pPr>
        <w:pStyle w:val="10"/>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_Toc3687 </w:instrText>
      </w:r>
      <w:r>
        <w:rPr>
          <w:rFonts w:hint="eastAsia" w:ascii="仿宋" w:hAnsi="仿宋" w:eastAsia="仿宋" w:cs="仿宋"/>
          <w:szCs w:val="24"/>
        </w:rPr>
        <w:fldChar w:fldCharType="separate"/>
      </w:r>
      <w:r>
        <w:rPr>
          <w:rFonts w:hint="eastAsia" w:ascii="仿宋" w:hAnsi="仿宋" w:eastAsia="仿宋" w:cs="仿宋"/>
          <w:bCs w:val="0"/>
          <w:kern w:val="0"/>
          <w:szCs w:val="36"/>
          <w:lang w:val="en-US" w:eastAsia="zh-CN" w:bidi="zh-CN"/>
        </w:rPr>
        <w:t>6  现场采样和实验室分析</w:t>
      </w:r>
      <w:r>
        <w:tab/>
      </w:r>
      <w:r>
        <w:fldChar w:fldCharType="begin"/>
      </w:r>
      <w:r>
        <w:instrText xml:space="preserve"> PAGEREF _Toc3687 \h </w:instrText>
      </w:r>
      <w:r>
        <w:fldChar w:fldCharType="separate"/>
      </w:r>
      <w:r>
        <w:t>140</w:t>
      </w:r>
      <w:r>
        <w:fldChar w:fldCharType="end"/>
      </w:r>
      <w:r>
        <w:rPr>
          <w:rFonts w:hint="eastAsia" w:ascii="仿宋" w:hAnsi="仿宋" w:eastAsia="仿宋" w:cs="仿宋"/>
          <w:color w:val="auto"/>
          <w:szCs w:val="24"/>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_Toc17827 </w:instrText>
      </w:r>
      <w:r>
        <w:rPr>
          <w:rFonts w:hint="eastAsia" w:ascii="仿宋" w:hAnsi="仿宋" w:eastAsia="仿宋" w:cs="仿宋"/>
          <w:szCs w:val="24"/>
        </w:rPr>
        <w:fldChar w:fldCharType="separate"/>
      </w:r>
      <w:r>
        <w:rPr>
          <w:rFonts w:hint="eastAsia" w:ascii="仿宋" w:hAnsi="仿宋" w:eastAsia="仿宋" w:cs="仿宋"/>
          <w:bCs w:val="0"/>
          <w:szCs w:val="28"/>
          <w:lang w:val="en-US" w:eastAsia="zh-CN"/>
        </w:rPr>
        <w:t>6.1 现场探测方法和程序</w:t>
      </w:r>
      <w:r>
        <w:tab/>
      </w:r>
      <w:r>
        <w:fldChar w:fldCharType="begin"/>
      </w:r>
      <w:r>
        <w:instrText xml:space="preserve"> PAGEREF _Toc17827 \h </w:instrText>
      </w:r>
      <w:r>
        <w:fldChar w:fldCharType="separate"/>
      </w:r>
      <w:r>
        <w:t>140</w:t>
      </w:r>
      <w:r>
        <w:fldChar w:fldCharType="end"/>
      </w:r>
      <w:r>
        <w:rPr>
          <w:rFonts w:hint="eastAsia" w:ascii="仿宋" w:hAnsi="仿宋" w:eastAsia="仿宋" w:cs="仿宋"/>
          <w:color w:val="auto"/>
          <w:szCs w:val="24"/>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_Toc30025 </w:instrText>
      </w:r>
      <w:r>
        <w:rPr>
          <w:rFonts w:hint="eastAsia" w:ascii="仿宋" w:hAnsi="仿宋" w:eastAsia="仿宋" w:cs="仿宋"/>
          <w:szCs w:val="24"/>
        </w:rPr>
        <w:fldChar w:fldCharType="separate"/>
      </w:r>
      <w:r>
        <w:rPr>
          <w:rFonts w:hint="eastAsia" w:ascii="仿宋" w:hAnsi="仿宋" w:eastAsia="仿宋" w:cs="仿宋"/>
          <w:bCs w:val="0"/>
          <w:szCs w:val="28"/>
          <w:lang w:val="en-US" w:eastAsia="zh-CN"/>
        </w:rPr>
        <w:t>6.2 采样方法和程序</w:t>
      </w:r>
      <w:r>
        <w:tab/>
      </w:r>
      <w:r>
        <w:fldChar w:fldCharType="begin"/>
      </w:r>
      <w:r>
        <w:instrText xml:space="preserve"> PAGEREF _Toc30025 \h </w:instrText>
      </w:r>
      <w:r>
        <w:fldChar w:fldCharType="separate"/>
      </w:r>
      <w:r>
        <w:t>142</w:t>
      </w:r>
      <w:r>
        <w:fldChar w:fldCharType="end"/>
      </w:r>
      <w:r>
        <w:rPr>
          <w:rFonts w:hint="eastAsia" w:ascii="仿宋" w:hAnsi="仿宋" w:eastAsia="仿宋" w:cs="仿宋"/>
          <w:color w:val="auto"/>
          <w:szCs w:val="24"/>
        </w:rPr>
        <w:fldChar w:fldCharType="end"/>
      </w:r>
    </w:p>
    <w:p>
      <w:pPr>
        <w:pStyle w:val="10"/>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_Toc10680 </w:instrText>
      </w:r>
      <w:r>
        <w:rPr>
          <w:rFonts w:hint="eastAsia" w:ascii="仿宋" w:hAnsi="仿宋" w:eastAsia="仿宋" w:cs="仿宋"/>
          <w:szCs w:val="24"/>
        </w:rPr>
        <w:fldChar w:fldCharType="separate"/>
      </w:r>
      <w:r>
        <w:rPr>
          <w:rFonts w:hint="eastAsia" w:ascii="Times New Roman" w:hAnsi="Times New Roman" w:eastAsia="仿宋" w:cs="Times New Roman"/>
          <w:bCs w:val="0"/>
          <w:szCs w:val="36"/>
          <w:lang w:val="en-US" w:eastAsia="zh-CN"/>
        </w:rPr>
        <w:t>7质量保证与质量控制</w:t>
      </w:r>
      <w:r>
        <w:tab/>
      </w:r>
      <w:r>
        <w:fldChar w:fldCharType="begin"/>
      </w:r>
      <w:r>
        <w:instrText xml:space="preserve"> PAGEREF _Toc10680 \h </w:instrText>
      </w:r>
      <w:r>
        <w:fldChar w:fldCharType="separate"/>
      </w:r>
      <w:r>
        <w:t>158</w:t>
      </w:r>
      <w:r>
        <w:fldChar w:fldCharType="end"/>
      </w:r>
      <w:r>
        <w:rPr>
          <w:rFonts w:hint="eastAsia" w:ascii="仿宋" w:hAnsi="仿宋" w:eastAsia="仿宋" w:cs="仿宋"/>
          <w:color w:val="auto"/>
          <w:szCs w:val="24"/>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_Toc14326 </w:instrText>
      </w:r>
      <w:r>
        <w:rPr>
          <w:rFonts w:hint="eastAsia" w:ascii="仿宋" w:hAnsi="仿宋" w:eastAsia="仿宋" w:cs="仿宋"/>
          <w:szCs w:val="24"/>
        </w:rPr>
        <w:fldChar w:fldCharType="separate"/>
      </w:r>
      <w:r>
        <w:rPr>
          <w:rFonts w:hint="eastAsia" w:ascii="Times New Roman" w:hAnsi="Times New Roman" w:eastAsia="仿宋" w:cs="Times New Roman"/>
          <w:bCs w:val="0"/>
          <w:szCs w:val="30"/>
          <w:lang w:val="en-US" w:eastAsia="zh-CN"/>
        </w:rPr>
        <w:t>7.1质量保证与质量控制工作组情况</w:t>
      </w:r>
      <w:r>
        <w:tab/>
      </w:r>
      <w:r>
        <w:fldChar w:fldCharType="begin"/>
      </w:r>
      <w:r>
        <w:instrText xml:space="preserve"> PAGEREF _Toc14326 \h </w:instrText>
      </w:r>
      <w:r>
        <w:fldChar w:fldCharType="separate"/>
      </w:r>
      <w:r>
        <w:t>158</w:t>
      </w:r>
      <w:r>
        <w:fldChar w:fldCharType="end"/>
      </w:r>
      <w:r>
        <w:rPr>
          <w:rFonts w:hint="eastAsia" w:ascii="仿宋" w:hAnsi="仿宋" w:eastAsia="仿宋" w:cs="仿宋"/>
          <w:color w:val="auto"/>
          <w:szCs w:val="24"/>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_Toc27019 </w:instrText>
      </w:r>
      <w:r>
        <w:rPr>
          <w:rFonts w:hint="eastAsia" w:ascii="仿宋" w:hAnsi="仿宋" w:eastAsia="仿宋" w:cs="仿宋"/>
          <w:szCs w:val="24"/>
        </w:rPr>
        <w:fldChar w:fldCharType="separate"/>
      </w:r>
      <w:r>
        <w:rPr>
          <w:rFonts w:hint="eastAsia" w:ascii="Times New Roman" w:hAnsi="Times New Roman" w:eastAsia="仿宋" w:cs="Times New Roman"/>
          <w:bCs w:val="0"/>
          <w:szCs w:val="30"/>
          <w:lang w:val="en-US" w:eastAsia="zh-CN"/>
        </w:rPr>
        <w:t>7.2内部质量保证与质量控制工作情况</w:t>
      </w:r>
      <w:r>
        <w:tab/>
      </w:r>
      <w:r>
        <w:fldChar w:fldCharType="begin"/>
      </w:r>
      <w:r>
        <w:instrText xml:space="preserve"> PAGEREF _Toc27019 \h </w:instrText>
      </w:r>
      <w:r>
        <w:fldChar w:fldCharType="separate"/>
      </w:r>
      <w:r>
        <w:t>162</w:t>
      </w:r>
      <w:r>
        <w:fldChar w:fldCharType="end"/>
      </w:r>
      <w:r>
        <w:rPr>
          <w:rFonts w:hint="eastAsia" w:ascii="仿宋" w:hAnsi="仿宋" w:eastAsia="仿宋" w:cs="仿宋"/>
          <w:color w:val="auto"/>
          <w:szCs w:val="24"/>
        </w:rPr>
        <w:fldChar w:fldCharType="end"/>
      </w:r>
    </w:p>
    <w:p>
      <w:pPr>
        <w:pStyle w:val="10"/>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_Toc25358 </w:instrText>
      </w:r>
      <w:r>
        <w:rPr>
          <w:rFonts w:hint="eastAsia" w:ascii="仿宋" w:hAnsi="仿宋" w:eastAsia="仿宋" w:cs="仿宋"/>
          <w:szCs w:val="24"/>
        </w:rPr>
        <w:fldChar w:fldCharType="separate"/>
      </w:r>
      <w:r>
        <w:rPr>
          <w:rFonts w:hint="eastAsia" w:ascii="仿宋" w:hAnsi="仿宋" w:eastAsia="仿宋" w:cs="仿宋"/>
          <w:bCs w:val="0"/>
          <w:kern w:val="0"/>
          <w:szCs w:val="36"/>
          <w:lang w:val="en-US" w:eastAsia="zh-CN" w:bidi="zh-CN"/>
        </w:rPr>
        <w:t>8  结果和评价</w:t>
      </w:r>
      <w:r>
        <w:tab/>
      </w:r>
      <w:r>
        <w:fldChar w:fldCharType="begin"/>
      </w:r>
      <w:r>
        <w:instrText xml:space="preserve"> PAGEREF _Toc25358 \h </w:instrText>
      </w:r>
      <w:r>
        <w:fldChar w:fldCharType="separate"/>
      </w:r>
      <w:r>
        <w:t>189</w:t>
      </w:r>
      <w:r>
        <w:fldChar w:fldCharType="end"/>
      </w:r>
      <w:r>
        <w:rPr>
          <w:rFonts w:hint="eastAsia" w:ascii="仿宋" w:hAnsi="仿宋" w:eastAsia="仿宋" w:cs="仿宋"/>
          <w:color w:val="auto"/>
          <w:szCs w:val="24"/>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_Toc8751 </w:instrText>
      </w:r>
      <w:r>
        <w:rPr>
          <w:rFonts w:hint="eastAsia" w:ascii="仿宋" w:hAnsi="仿宋" w:eastAsia="仿宋" w:cs="仿宋"/>
          <w:szCs w:val="24"/>
        </w:rPr>
        <w:fldChar w:fldCharType="separate"/>
      </w:r>
      <w:r>
        <w:rPr>
          <w:rFonts w:hint="eastAsia" w:ascii="仿宋" w:hAnsi="仿宋" w:eastAsia="仿宋" w:cs="仿宋"/>
          <w:bCs w:val="0"/>
          <w:szCs w:val="28"/>
          <w:lang w:val="en-US" w:eastAsia="zh-CN"/>
        </w:rPr>
        <w:t>8.1 评价标准</w:t>
      </w:r>
      <w:r>
        <w:tab/>
      </w:r>
      <w:r>
        <w:fldChar w:fldCharType="begin"/>
      </w:r>
      <w:r>
        <w:instrText xml:space="preserve"> PAGEREF _Toc8751 \h </w:instrText>
      </w:r>
      <w:r>
        <w:fldChar w:fldCharType="separate"/>
      </w:r>
      <w:r>
        <w:t>189</w:t>
      </w:r>
      <w:r>
        <w:fldChar w:fldCharType="end"/>
      </w:r>
      <w:r>
        <w:rPr>
          <w:rFonts w:hint="eastAsia" w:ascii="仿宋" w:hAnsi="仿宋" w:eastAsia="仿宋" w:cs="仿宋"/>
          <w:color w:val="auto"/>
          <w:szCs w:val="24"/>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_Toc7813 </w:instrText>
      </w:r>
      <w:r>
        <w:rPr>
          <w:rFonts w:hint="eastAsia" w:ascii="仿宋" w:hAnsi="仿宋" w:eastAsia="仿宋" w:cs="仿宋"/>
          <w:szCs w:val="24"/>
        </w:rPr>
        <w:fldChar w:fldCharType="separate"/>
      </w:r>
      <w:r>
        <w:rPr>
          <w:rFonts w:hint="eastAsia" w:ascii="仿宋" w:hAnsi="仿宋" w:eastAsia="仿宋" w:cs="仿宋"/>
          <w:bCs w:val="0"/>
          <w:szCs w:val="28"/>
          <w:lang w:val="en-US" w:eastAsia="zh-CN"/>
        </w:rPr>
        <w:t>8.2 分析检测结果</w:t>
      </w:r>
      <w:r>
        <w:tab/>
      </w:r>
      <w:r>
        <w:fldChar w:fldCharType="begin"/>
      </w:r>
      <w:r>
        <w:instrText xml:space="preserve"> PAGEREF _Toc7813 \h </w:instrText>
      </w:r>
      <w:r>
        <w:fldChar w:fldCharType="separate"/>
      </w:r>
      <w:r>
        <w:t>194</w:t>
      </w:r>
      <w:r>
        <w:fldChar w:fldCharType="end"/>
      </w:r>
      <w:r>
        <w:rPr>
          <w:rFonts w:hint="eastAsia" w:ascii="仿宋" w:hAnsi="仿宋" w:eastAsia="仿宋" w:cs="仿宋"/>
          <w:color w:val="auto"/>
          <w:szCs w:val="24"/>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_Toc1606 </w:instrText>
      </w:r>
      <w:r>
        <w:rPr>
          <w:rFonts w:hint="eastAsia" w:ascii="仿宋" w:hAnsi="仿宋" w:eastAsia="仿宋" w:cs="仿宋"/>
          <w:szCs w:val="24"/>
        </w:rPr>
        <w:fldChar w:fldCharType="separate"/>
      </w:r>
      <w:r>
        <w:rPr>
          <w:rFonts w:hint="eastAsia" w:ascii="仿宋" w:hAnsi="仿宋" w:eastAsia="仿宋" w:cs="仿宋"/>
          <w:bCs w:val="0"/>
          <w:szCs w:val="28"/>
          <w:lang w:val="en-US" w:eastAsia="zh-CN"/>
        </w:rPr>
        <w:t>8.3 结果分析和评价</w:t>
      </w:r>
      <w:r>
        <w:tab/>
      </w:r>
      <w:r>
        <w:fldChar w:fldCharType="begin"/>
      </w:r>
      <w:r>
        <w:instrText xml:space="preserve"> PAGEREF _Toc1606 \h </w:instrText>
      </w:r>
      <w:r>
        <w:fldChar w:fldCharType="separate"/>
      </w:r>
      <w:r>
        <w:t>204</w:t>
      </w:r>
      <w:r>
        <w:fldChar w:fldCharType="end"/>
      </w:r>
      <w:r>
        <w:rPr>
          <w:rFonts w:hint="eastAsia" w:ascii="仿宋" w:hAnsi="仿宋" w:eastAsia="仿宋" w:cs="仿宋"/>
          <w:color w:val="auto"/>
          <w:szCs w:val="24"/>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_Toc23274 </w:instrText>
      </w:r>
      <w:r>
        <w:rPr>
          <w:rFonts w:hint="eastAsia" w:ascii="仿宋" w:hAnsi="仿宋" w:eastAsia="仿宋" w:cs="仿宋"/>
          <w:szCs w:val="24"/>
        </w:rPr>
        <w:fldChar w:fldCharType="separate"/>
      </w:r>
      <w:r>
        <w:rPr>
          <w:rFonts w:hint="eastAsia" w:ascii="仿宋" w:hAnsi="仿宋" w:eastAsia="仿宋" w:cs="仿宋"/>
          <w:bCs w:val="0"/>
          <w:szCs w:val="28"/>
          <w:lang w:val="en-US" w:eastAsia="zh-CN"/>
        </w:rPr>
        <w:t>8.4 不确定性</w:t>
      </w:r>
      <w:r>
        <w:tab/>
      </w:r>
      <w:r>
        <w:fldChar w:fldCharType="begin"/>
      </w:r>
      <w:r>
        <w:instrText xml:space="preserve"> PAGEREF _Toc23274 \h </w:instrText>
      </w:r>
      <w:r>
        <w:fldChar w:fldCharType="separate"/>
      </w:r>
      <w:r>
        <w:t>204</w:t>
      </w:r>
      <w:r>
        <w:fldChar w:fldCharType="end"/>
      </w:r>
      <w:r>
        <w:rPr>
          <w:rFonts w:hint="eastAsia" w:ascii="仿宋" w:hAnsi="仿宋" w:eastAsia="仿宋" w:cs="仿宋"/>
          <w:color w:val="auto"/>
          <w:szCs w:val="24"/>
        </w:rPr>
        <w:fldChar w:fldCharType="end"/>
      </w:r>
    </w:p>
    <w:p>
      <w:pPr>
        <w:pStyle w:val="10"/>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_Toc4791 </w:instrText>
      </w:r>
      <w:r>
        <w:rPr>
          <w:rFonts w:hint="eastAsia" w:ascii="仿宋" w:hAnsi="仿宋" w:eastAsia="仿宋" w:cs="仿宋"/>
          <w:szCs w:val="24"/>
        </w:rPr>
        <w:fldChar w:fldCharType="separate"/>
      </w:r>
      <w:r>
        <w:rPr>
          <w:rFonts w:hint="eastAsia" w:ascii="仿宋" w:hAnsi="仿宋" w:eastAsia="仿宋" w:cs="仿宋"/>
          <w:bCs w:val="0"/>
          <w:kern w:val="0"/>
          <w:szCs w:val="36"/>
          <w:lang w:val="en-US" w:eastAsia="zh-CN" w:bidi="zh-CN"/>
        </w:rPr>
        <w:t>9  结论和建议</w:t>
      </w:r>
      <w:r>
        <w:tab/>
      </w:r>
      <w:r>
        <w:fldChar w:fldCharType="begin"/>
      </w:r>
      <w:r>
        <w:instrText xml:space="preserve"> PAGEREF _Toc4791 \h </w:instrText>
      </w:r>
      <w:r>
        <w:fldChar w:fldCharType="separate"/>
      </w:r>
      <w:r>
        <w:t>206</w:t>
      </w:r>
      <w:r>
        <w:fldChar w:fldCharType="end"/>
      </w:r>
      <w:r>
        <w:rPr>
          <w:rFonts w:hint="eastAsia" w:ascii="仿宋" w:hAnsi="仿宋" w:eastAsia="仿宋" w:cs="仿宋"/>
          <w:color w:val="auto"/>
          <w:szCs w:val="24"/>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_Toc32211 </w:instrText>
      </w:r>
      <w:r>
        <w:rPr>
          <w:rFonts w:hint="eastAsia" w:ascii="仿宋" w:hAnsi="仿宋" w:eastAsia="仿宋" w:cs="仿宋"/>
          <w:szCs w:val="24"/>
        </w:rPr>
        <w:fldChar w:fldCharType="separate"/>
      </w:r>
      <w:r>
        <w:rPr>
          <w:rFonts w:hint="eastAsia" w:ascii="仿宋" w:hAnsi="仿宋" w:eastAsia="仿宋" w:cs="仿宋"/>
          <w:bCs w:val="0"/>
          <w:szCs w:val="28"/>
          <w:lang w:val="en-US" w:eastAsia="zh-CN"/>
        </w:rPr>
        <w:t>9.1 结论</w:t>
      </w:r>
      <w:r>
        <w:tab/>
      </w:r>
      <w:r>
        <w:fldChar w:fldCharType="begin"/>
      </w:r>
      <w:r>
        <w:instrText xml:space="preserve"> PAGEREF _Toc32211 \h </w:instrText>
      </w:r>
      <w:r>
        <w:fldChar w:fldCharType="separate"/>
      </w:r>
      <w:r>
        <w:t>206</w:t>
      </w:r>
      <w:r>
        <w:fldChar w:fldCharType="end"/>
      </w:r>
      <w:r>
        <w:rPr>
          <w:rFonts w:hint="eastAsia" w:ascii="仿宋" w:hAnsi="仿宋" w:eastAsia="仿宋" w:cs="仿宋"/>
          <w:color w:val="auto"/>
          <w:szCs w:val="24"/>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_Toc10722 </w:instrText>
      </w:r>
      <w:r>
        <w:rPr>
          <w:rFonts w:hint="eastAsia" w:ascii="仿宋" w:hAnsi="仿宋" w:eastAsia="仿宋" w:cs="仿宋"/>
          <w:szCs w:val="24"/>
        </w:rPr>
        <w:fldChar w:fldCharType="separate"/>
      </w:r>
      <w:r>
        <w:rPr>
          <w:rFonts w:hint="eastAsia" w:ascii="仿宋" w:hAnsi="仿宋" w:eastAsia="仿宋" w:cs="仿宋"/>
          <w:bCs w:val="0"/>
          <w:szCs w:val="28"/>
          <w:lang w:val="en-US" w:eastAsia="zh-CN"/>
        </w:rPr>
        <w:t>9.2 建议</w:t>
      </w:r>
      <w:r>
        <w:tab/>
      </w:r>
      <w:r>
        <w:fldChar w:fldCharType="begin"/>
      </w:r>
      <w:r>
        <w:instrText xml:space="preserve"> PAGEREF _Toc10722 \h </w:instrText>
      </w:r>
      <w:r>
        <w:fldChar w:fldCharType="separate"/>
      </w:r>
      <w:r>
        <w:t>207</w:t>
      </w:r>
      <w:r>
        <w:fldChar w:fldCharType="end"/>
      </w:r>
      <w:r>
        <w:rPr>
          <w:rFonts w:hint="eastAsia" w:ascii="仿宋" w:hAnsi="仿宋" w:eastAsia="仿宋" w:cs="仿宋"/>
          <w:color w:val="auto"/>
          <w:szCs w:val="24"/>
        </w:rPr>
        <w:fldChar w:fldCharType="end"/>
      </w:r>
    </w:p>
    <w:p>
      <w:pPr>
        <w:pStyle w:val="10"/>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_Toc11967 </w:instrText>
      </w:r>
      <w:r>
        <w:rPr>
          <w:rFonts w:hint="eastAsia" w:ascii="仿宋" w:hAnsi="仿宋" w:eastAsia="仿宋" w:cs="仿宋"/>
          <w:szCs w:val="24"/>
        </w:rPr>
        <w:fldChar w:fldCharType="separate"/>
      </w:r>
      <w:r>
        <w:rPr>
          <w:rFonts w:hint="eastAsia" w:ascii="仿宋" w:hAnsi="仿宋" w:eastAsia="仿宋" w:cs="仿宋"/>
          <w:bCs w:val="0"/>
          <w:kern w:val="0"/>
          <w:szCs w:val="36"/>
          <w:lang w:val="en-US" w:eastAsia="zh-CN" w:bidi="zh-CN"/>
        </w:rPr>
        <w:t>10  附件</w:t>
      </w:r>
      <w:r>
        <w:tab/>
      </w:r>
      <w:r>
        <w:fldChar w:fldCharType="begin"/>
      </w:r>
      <w:r>
        <w:instrText xml:space="preserve"> PAGEREF _Toc11967 \h </w:instrText>
      </w:r>
      <w:r>
        <w:fldChar w:fldCharType="separate"/>
      </w:r>
      <w:r>
        <w:t>208</w:t>
      </w:r>
      <w:r>
        <w:fldChar w:fldCharType="end"/>
      </w:r>
      <w:r>
        <w:rPr>
          <w:rFonts w:hint="eastAsia" w:ascii="仿宋" w:hAnsi="仿宋" w:eastAsia="仿宋" w:cs="仿宋"/>
          <w:color w:val="auto"/>
          <w:szCs w:val="24"/>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_Toc20863 </w:instrText>
      </w:r>
      <w:r>
        <w:rPr>
          <w:rFonts w:hint="eastAsia" w:ascii="仿宋" w:hAnsi="仿宋" w:eastAsia="仿宋" w:cs="仿宋"/>
          <w:szCs w:val="24"/>
        </w:rPr>
        <w:fldChar w:fldCharType="separate"/>
      </w:r>
      <w:r>
        <w:rPr>
          <w:rFonts w:hint="eastAsia" w:ascii="仿宋" w:hAnsi="仿宋" w:eastAsia="仿宋" w:cs="仿宋"/>
          <w:lang w:val="en-US" w:eastAsia="zh-CN"/>
        </w:rPr>
        <w:t>附件1 地块各类权属征收红线规划等证明文件</w:t>
      </w:r>
      <w:r>
        <w:tab/>
      </w:r>
      <w:r>
        <w:fldChar w:fldCharType="begin"/>
      </w:r>
      <w:r>
        <w:instrText xml:space="preserve"> PAGEREF _Toc20863 \h </w:instrText>
      </w:r>
      <w:r>
        <w:fldChar w:fldCharType="separate"/>
      </w:r>
      <w:r>
        <w:t>209</w:t>
      </w:r>
      <w:r>
        <w:fldChar w:fldCharType="end"/>
      </w:r>
      <w:r>
        <w:rPr>
          <w:rFonts w:hint="eastAsia" w:ascii="仿宋" w:hAnsi="仿宋" w:eastAsia="仿宋" w:cs="仿宋"/>
          <w:color w:val="auto"/>
          <w:szCs w:val="24"/>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_Toc12264 </w:instrText>
      </w:r>
      <w:r>
        <w:rPr>
          <w:rFonts w:hint="eastAsia" w:ascii="仿宋" w:hAnsi="仿宋" w:eastAsia="仿宋" w:cs="仿宋"/>
          <w:szCs w:val="24"/>
        </w:rPr>
        <w:fldChar w:fldCharType="separate"/>
      </w:r>
      <w:r>
        <w:rPr>
          <w:rFonts w:hint="eastAsia" w:ascii="仿宋" w:hAnsi="仿宋" w:eastAsia="仿宋" w:cs="仿宋"/>
          <w:lang w:val="en-US" w:eastAsia="zh-CN"/>
        </w:rPr>
        <w:t>附件2 地块（含地块内企业）相关历史记录、水文地质调查报告或测绘报告等地块资料</w:t>
      </w:r>
      <w:r>
        <w:tab/>
      </w:r>
      <w:r>
        <w:fldChar w:fldCharType="begin"/>
      </w:r>
      <w:r>
        <w:instrText xml:space="preserve"> PAGEREF _Toc12264 \h </w:instrText>
      </w:r>
      <w:r>
        <w:fldChar w:fldCharType="separate"/>
      </w:r>
      <w:r>
        <w:t>215</w:t>
      </w:r>
      <w:r>
        <w:fldChar w:fldCharType="end"/>
      </w:r>
      <w:r>
        <w:rPr>
          <w:rFonts w:hint="eastAsia" w:ascii="仿宋" w:hAnsi="仿宋" w:eastAsia="仿宋" w:cs="仿宋"/>
          <w:color w:val="auto"/>
          <w:szCs w:val="24"/>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_Toc28828 </w:instrText>
      </w:r>
      <w:r>
        <w:rPr>
          <w:rFonts w:hint="eastAsia" w:ascii="仿宋" w:hAnsi="仿宋" w:eastAsia="仿宋" w:cs="仿宋"/>
          <w:szCs w:val="24"/>
        </w:rPr>
        <w:fldChar w:fldCharType="separate"/>
      </w:r>
      <w:r>
        <w:rPr>
          <w:rFonts w:hint="eastAsia" w:ascii="仿宋" w:hAnsi="仿宋" w:eastAsia="仿宋" w:cs="仿宋"/>
          <w:lang w:val="en-US" w:eastAsia="zh-CN"/>
        </w:rPr>
        <w:t>附件3 人员访谈原始记录单</w:t>
      </w:r>
      <w:r>
        <w:tab/>
      </w:r>
      <w:r>
        <w:fldChar w:fldCharType="begin"/>
      </w:r>
      <w:r>
        <w:instrText xml:space="preserve"> PAGEREF _Toc28828 \h </w:instrText>
      </w:r>
      <w:r>
        <w:fldChar w:fldCharType="separate"/>
      </w:r>
      <w:r>
        <w:t>428</w:t>
      </w:r>
      <w:r>
        <w:fldChar w:fldCharType="end"/>
      </w:r>
      <w:r>
        <w:rPr>
          <w:rFonts w:hint="eastAsia" w:ascii="仿宋" w:hAnsi="仿宋" w:eastAsia="仿宋" w:cs="仿宋"/>
          <w:color w:val="auto"/>
          <w:szCs w:val="24"/>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_Toc19173 </w:instrText>
      </w:r>
      <w:r>
        <w:rPr>
          <w:rFonts w:hint="eastAsia" w:ascii="仿宋" w:hAnsi="仿宋" w:eastAsia="仿宋" w:cs="仿宋"/>
          <w:szCs w:val="24"/>
        </w:rPr>
        <w:fldChar w:fldCharType="separate"/>
      </w:r>
      <w:r>
        <w:rPr>
          <w:rFonts w:hint="eastAsia" w:ascii="仿宋" w:hAnsi="仿宋" w:eastAsia="仿宋" w:cs="仿宋"/>
          <w:lang w:val="en-US" w:eastAsia="zh-CN"/>
        </w:rPr>
        <w:t>附件4  调查采样方案专家论证意见及修改清单</w:t>
      </w:r>
      <w:r>
        <w:tab/>
      </w:r>
      <w:r>
        <w:fldChar w:fldCharType="begin"/>
      </w:r>
      <w:r>
        <w:instrText xml:space="preserve"> PAGEREF _Toc19173 \h </w:instrText>
      </w:r>
      <w:r>
        <w:fldChar w:fldCharType="separate"/>
      </w:r>
      <w:r>
        <w:t>451</w:t>
      </w:r>
      <w:r>
        <w:fldChar w:fldCharType="end"/>
      </w:r>
      <w:r>
        <w:rPr>
          <w:rFonts w:hint="eastAsia" w:ascii="仿宋" w:hAnsi="仿宋" w:eastAsia="仿宋" w:cs="仿宋"/>
          <w:color w:val="auto"/>
          <w:szCs w:val="24"/>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_Toc5708 </w:instrText>
      </w:r>
      <w:r>
        <w:rPr>
          <w:rFonts w:hint="eastAsia" w:ascii="仿宋" w:hAnsi="仿宋" w:eastAsia="仿宋" w:cs="仿宋"/>
          <w:szCs w:val="24"/>
        </w:rPr>
        <w:fldChar w:fldCharType="separate"/>
      </w:r>
      <w:r>
        <w:rPr>
          <w:rFonts w:hint="eastAsia" w:ascii="仿宋" w:hAnsi="仿宋" w:eastAsia="仿宋" w:cs="仿宋"/>
          <w:lang w:val="en-US" w:eastAsia="zh-CN"/>
        </w:rPr>
        <w:t>附件5  钻孔记录单及钻孔柱状图、成井记录单、手持设备日常校准记录、快筛记录单、原始采样记录及现场工作记录、洗井记录、流转记录。</w:t>
      </w:r>
      <w:r>
        <w:tab/>
      </w:r>
      <w:r>
        <w:fldChar w:fldCharType="begin"/>
      </w:r>
      <w:r>
        <w:instrText xml:space="preserve"> PAGEREF _Toc5708 \h </w:instrText>
      </w:r>
      <w:r>
        <w:fldChar w:fldCharType="separate"/>
      </w:r>
      <w:r>
        <w:t>454</w:t>
      </w:r>
      <w:r>
        <w:fldChar w:fldCharType="end"/>
      </w:r>
      <w:r>
        <w:rPr>
          <w:rFonts w:hint="eastAsia" w:ascii="仿宋" w:hAnsi="仿宋" w:eastAsia="仿宋" w:cs="仿宋"/>
          <w:color w:val="auto"/>
          <w:szCs w:val="24"/>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_Toc22276 </w:instrText>
      </w:r>
      <w:r>
        <w:rPr>
          <w:rFonts w:hint="eastAsia" w:ascii="仿宋" w:hAnsi="仿宋" w:eastAsia="仿宋" w:cs="仿宋"/>
          <w:szCs w:val="24"/>
        </w:rPr>
        <w:fldChar w:fldCharType="separate"/>
      </w:r>
      <w:r>
        <w:rPr>
          <w:rFonts w:hint="eastAsia" w:ascii="仿宋" w:hAnsi="仿宋" w:eastAsia="仿宋" w:cs="仿宋"/>
          <w:lang w:val="en-US" w:eastAsia="zh-CN"/>
        </w:rPr>
        <w:t>附件6  现场调查工作过程照片、地块现场采样全流程照片</w:t>
      </w:r>
      <w:r>
        <w:tab/>
      </w:r>
      <w:r>
        <w:fldChar w:fldCharType="begin"/>
      </w:r>
      <w:r>
        <w:instrText xml:space="preserve"> PAGEREF _Toc22276 \h </w:instrText>
      </w:r>
      <w:r>
        <w:fldChar w:fldCharType="separate"/>
      </w:r>
      <w:r>
        <w:t>484</w:t>
      </w:r>
      <w:r>
        <w:fldChar w:fldCharType="end"/>
      </w:r>
      <w:r>
        <w:rPr>
          <w:rFonts w:hint="eastAsia" w:ascii="仿宋" w:hAnsi="仿宋" w:eastAsia="仿宋" w:cs="仿宋"/>
          <w:color w:val="auto"/>
          <w:szCs w:val="24"/>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_Toc20417 </w:instrText>
      </w:r>
      <w:r>
        <w:rPr>
          <w:rFonts w:hint="eastAsia" w:ascii="仿宋" w:hAnsi="仿宋" w:eastAsia="仿宋" w:cs="仿宋"/>
          <w:szCs w:val="24"/>
        </w:rPr>
        <w:fldChar w:fldCharType="separate"/>
      </w:r>
      <w:r>
        <w:rPr>
          <w:rFonts w:hint="eastAsia" w:ascii="仿宋" w:hAnsi="仿宋" w:eastAsia="仿宋" w:cs="仿宋"/>
          <w:lang w:val="en-US" w:eastAsia="zh-CN"/>
        </w:rPr>
        <w:t>附件7 实验室资质及检测项目资质认定、实验室检测报告（盖章）及质控报告。</w:t>
      </w:r>
      <w:r>
        <w:tab/>
      </w:r>
      <w:r>
        <w:fldChar w:fldCharType="begin"/>
      </w:r>
      <w:r>
        <w:instrText xml:space="preserve"> PAGEREF _Toc20417 \h </w:instrText>
      </w:r>
      <w:r>
        <w:fldChar w:fldCharType="separate"/>
      </w:r>
      <w:r>
        <w:t>509</w:t>
      </w:r>
      <w:r>
        <w:fldChar w:fldCharType="end"/>
      </w:r>
      <w:r>
        <w:rPr>
          <w:rFonts w:hint="eastAsia" w:ascii="仿宋" w:hAnsi="仿宋" w:eastAsia="仿宋" w:cs="仿宋"/>
          <w:color w:val="auto"/>
          <w:szCs w:val="24"/>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pPr>
      <w:r>
        <w:rPr>
          <w:rFonts w:hint="eastAsia" w:ascii="仿宋" w:hAnsi="仿宋" w:eastAsia="仿宋" w:cs="仿宋"/>
          <w:color w:val="auto"/>
          <w:szCs w:val="24"/>
        </w:rPr>
        <w:fldChar w:fldCharType="begin"/>
      </w:r>
      <w:r>
        <w:rPr>
          <w:rFonts w:hint="eastAsia" w:ascii="仿宋" w:hAnsi="仿宋" w:eastAsia="仿宋" w:cs="仿宋"/>
          <w:szCs w:val="24"/>
        </w:rPr>
        <w:instrText xml:space="preserve"> HYPERLINK \l _Toc32190 </w:instrText>
      </w:r>
      <w:r>
        <w:rPr>
          <w:rFonts w:hint="eastAsia" w:ascii="仿宋" w:hAnsi="仿宋" w:eastAsia="仿宋" w:cs="仿宋"/>
          <w:szCs w:val="24"/>
        </w:rPr>
        <w:fldChar w:fldCharType="separate"/>
      </w:r>
      <w:r>
        <w:rPr>
          <w:rFonts w:hint="eastAsia" w:ascii="仿宋" w:hAnsi="仿宋" w:eastAsia="仿宋" w:cs="仿宋"/>
          <w:lang w:val="en-US" w:eastAsia="zh-CN"/>
        </w:rPr>
        <w:t>附件8 报告主要公示证明材料</w:t>
      </w:r>
      <w:r>
        <w:tab/>
      </w:r>
      <w:r>
        <w:fldChar w:fldCharType="begin"/>
      </w:r>
      <w:r>
        <w:instrText xml:space="preserve"> PAGEREF _Toc32190 \h </w:instrText>
      </w:r>
      <w:r>
        <w:fldChar w:fldCharType="separate"/>
      </w:r>
      <w:r>
        <w:t>742</w:t>
      </w:r>
      <w:r>
        <w:fldChar w:fldCharType="end"/>
      </w:r>
      <w:r>
        <w:rPr>
          <w:rFonts w:hint="eastAsia" w:ascii="仿宋" w:hAnsi="仿宋" w:eastAsia="仿宋" w:cs="仿宋"/>
          <w:color w:val="auto"/>
          <w:szCs w:val="24"/>
        </w:rPr>
        <w:fldChar w:fldCharType="end"/>
      </w:r>
    </w:p>
    <w:p>
      <w:pPr>
        <w:pStyle w:val="5"/>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0" w:firstLineChars="0"/>
        <w:textAlignment w:val="auto"/>
        <w:rPr>
          <w:rFonts w:hint="eastAsia" w:ascii="仿宋" w:hAnsi="仿宋" w:eastAsia="仿宋" w:cs="仿宋"/>
          <w:color w:val="auto"/>
          <w:sz w:val="24"/>
          <w:szCs w:val="24"/>
        </w:rPr>
        <w:sectPr>
          <w:headerReference r:id="rId8" w:type="default"/>
          <w:footerReference r:id="rId9" w:type="default"/>
          <w:pgSz w:w="11906" w:h="16838"/>
          <w:pgMar w:top="1440" w:right="1800" w:bottom="1440" w:left="1800" w:header="851" w:footer="992" w:gutter="0"/>
          <w:pgBorders>
            <w:top w:val="none" w:sz="0" w:space="0"/>
            <w:left w:val="none" w:sz="0" w:space="0"/>
            <w:bottom w:val="none" w:sz="0" w:space="0"/>
            <w:right w:val="none" w:sz="0" w:space="0"/>
          </w:pgBorders>
          <w:pgNumType w:fmt="upperRoman" w:start="1"/>
          <w:cols w:space="720" w:num="1"/>
          <w:docGrid w:type="lines" w:linePitch="312" w:charSpace="0"/>
        </w:sectPr>
      </w:pPr>
      <w:r>
        <w:rPr>
          <w:rFonts w:hint="eastAsia" w:ascii="仿宋" w:hAnsi="仿宋" w:eastAsia="仿宋" w:cs="仿宋"/>
          <w:color w:val="auto"/>
          <w:szCs w:val="24"/>
        </w:rPr>
        <w:fldChar w:fldCharType="end"/>
      </w:r>
    </w:p>
    <w:p>
      <w:pPr>
        <w:pStyle w:val="12"/>
        <w:keepNext w:val="0"/>
        <w:keepLines w:val="0"/>
        <w:pageBreakBefore w:val="0"/>
        <w:widowControl/>
        <w:kinsoku/>
        <w:wordWrap w:val="0"/>
        <w:overflowPunct/>
        <w:topLinePunct w:val="0"/>
        <w:autoSpaceDE/>
        <w:autoSpaceDN/>
        <w:bidi w:val="0"/>
        <w:adjustRightInd/>
        <w:snapToGrid/>
        <w:spacing w:before="0" w:beforeAutospacing="0" w:after="0" w:afterAutospacing="0" w:line="360" w:lineRule="auto"/>
        <w:textAlignment w:val="auto"/>
        <w:outlineLvl w:val="0"/>
        <w:rPr>
          <w:rFonts w:hint="eastAsia" w:ascii="仿宋" w:hAnsi="仿宋" w:eastAsia="仿宋" w:cs="仿宋"/>
          <w:b/>
          <w:bCs w:val="0"/>
          <w:color w:val="auto"/>
          <w:sz w:val="36"/>
          <w:szCs w:val="36"/>
          <w:lang w:val="en-US" w:eastAsia="zh-CN"/>
        </w:rPr>
      </w:pPr>
      <w:bookmarkStart w:id="18" w:name="_Toc26673"/>
      <w:bookmarkStart w:id="19" w:name="_Toc31484"/>
      <w:bookmarkStart w:id="20" w:name="_Toc11125"/>
      <w:bookmarkStart w:id="21" w:name="_Toc31206"/>
      <w:bookmarkStart w:id="22" w:name="_Toc6995"/>
      <w:r>
        <w:rPr>
          <w:rFonts w:hint="eastAsia" w:ascii="仿宋" w:hAnsi="仿宋" w:eastAsia="仿宋" w:cs="仿宋"/>
          <w:b/>
          <w:bCs w:val="0"/>
          <w:color w:val="auto"/>
          <w:sz w:val="36"/>
          <w:szCs w:val="36"/>
          <w:lang w:val="en-US" w:eastAsia="zh-CN"/>
        </w:rPr>
        <w:t>1  前言</w:t>
      </w:r>
      <w:bookmarkEnd w:id="18"/>
      <w:bookmarkEnd w:id="19"/>
      <w:bookmarkEnd w:id="20"/>
      <w:bookmarkEnd w:id="21"/>
      <w:bookmarkEnd w:id="22"/>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如皋城西片区一期桃源路东、广福路北（324# 、325# ）地块位于南通市如皋市如城街道。调查范围东至益寿路，西至桃源路，南至广福路（规划路），北至滨河南路。本次调查地块总占地面积60584平方米（约90.876亩）。</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结合卫星影像及人员访谈得知，根据调查情况，地块内早期为农田，</w:t>
      </w:r>
      <w:r>
        <w:rPr>
          <w:rFonts w:hint="eastAsia" w:ascii="仿宋" w:hAnsi="仿宋" w:eastAsia="仿宋" w:cs="仿宋"/>
          <w:color w:val="auto"/>
          <w:szCs w:val="32"/>
        </w:rPr>
        <w:t>根据地块历史用途分为一区和二区，一区为居民区，二区为企业</w:t>
      </w:r>
      <w:r>
        <w:rPr>
          <w:rFonts w:hint="eastAsia" w:ascii="仿宋" w:hAnsi="仿宋" w:eastAsia="仿宋" w:cs="仿宋"/>
          <w:color w:val="auto"/>
          <w:szCs w:val="32"/>
          <w:lang w:eastAsia="zh-CN"/>
        </w:rPr>
        <w:t>，</w:t>
      </w:r>
      <w:r>
        <w:rPr>
          <w:rFonts w:hint="eastAsia" w:ascii="仿宋" w:hAnsi="仿宋" w:eastAsia="仿宋" w:cs="仿宋"/>
          <w:color w:val="auto"/>
          <w:szCs w:val="32"/>
          <w:lang w:val="en-US" w:eastAsia="zh-CN"/>
        </w:rPr>
        <w:t>主要包括如皋市轧花厂部分厂区、如皋市海鹏浴室咨询服务部、如皋市三禾棉业商贸有限公司部分厂区、篮球学校等</w:t>
      </w:r>
      <w:r>
        <w:rPr>
          <w:rFonts w:hint="eastAsia" w:ascii="仿宋" w:hAnsi="仿宋" w:eastAsia="仿宋" w:cs="仿宋"/>
          <w:color w:val="auto"/>
          <w:szCs w:val="32"/>
        </w:rPr>
        <w:t>。</w:t>
      </w:r>
      <w:r>
        <w:rPr>
          <w:rFonts w:hint="eastAsia" w:ascii="仿宋" w:hAnsi="仿宋" w:eastAsia="仿宋" w:cs="仿宋"/>
          <w:b w:val="0"/>
          <w:bCs w:val="0"/>
          <w:color w:val="auto"/>
          <w:sz w:val="24"/>
          <w:szCs w:val="32"/>
          <w:lang w:val="en-US" w:eastAsia="zh-CN"/>
        </w:rPr>
        <w:t>根据环评资料，1991年如皋市轧花厂成立，部分厂区位于本次调查地块的二区，主要从事棉花加工行业，根据人员访谈得知，其中位于地块内的部分为如皋市轧花厂的仓库，不进行生产活动；2003年如皋市海鹏浴室咨询服务部成立；2007年如皋市轧花厂改制成立如皋市三禾棉业商贸有限公司，后三禾棉业将厂房出租作为篮球学校、仓库等用途，不进行生产，直至2023年地块内构筑物均拆除</w:t>
      </w:r>
      <w:r>
        <w:rPr>
          <w:rFonts w:hint="eastAsia" w:ascii="仿宋" w:hAnsi="仿宋" w:eastAsia="仿宋" w:cs="仿宋"/>
          <w:color w:val="auto"/>
          <w:sz w:val="24"/>
          <w:szCs w:val="24"/>
          <w:lang w:val="en-US" w:eastAsia="zh-CN"/>
        </w:rPr>
        <w:t>，目前为开放状态，土壤有受到人为扰动的可能。调查地块周围500m范围内的敏感目标为地表水、居民区、工业区等。本次调查地块相邻地块周边当前和历史上存在多家企业，距离本次调查地块最近的企业为地块北侧10米处的南通君兰服饰线业有限公司。</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本次调查地块周边500m范围内存在七家重点行业企业，分别为如皋市万隆漂染厂、南通东韵染整有限公司、如皋市双佳助剂有限公司、如皋市托普制线厂、如皋市弘森染丝线厂、如皋市莱思染整有限公司、南通君兰服饰线业有限公司，风险关注度等级均为中度，其中如皋市万隆漂染厂为《关于如皋市重点行业企业用地调查高风险遗留地块（第一批）管控区域的公示（2022年3月24日）》中规定的高风险遗留地块，且未开展土壤和地下水检测工作。南通东韵染整有限公司在重点行业企业调查土壤和地下水检测中未出现超标现象。如皋市弘森染丝线厂、如皋市莱思染整有限公司已进行过场调工作，根据《如皋城西片区一期西部志颐路东、如泰运河南地块土壤污染状况调查报告》结论，符合一类用地筛选值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其中周边企业存在的环保行政处罚情况如下：如皋市双佳助剂有限公司于2014年1月13日被如皋生态环境局（原如皋市环境保护局）作出皋环罚字（2014）2号行政处罚决定书，原因为未办理环评手续，水污染防治设施未经环保部门验收，擅自在如皋市如城镇西门外车站路18号建设甲醇、乙醇项目并投入生产。南通皋鑫电子股份有限公司于2018年4月27日被如皋生态环境局（原如皋市环境保护局）作出皋环罚字（2018）47号行政处罚决定书，原因为不正常运行污染防治设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本次调查地块用地性质为住宅（宅基地）、集体用地、道路。根据《如皋市西片区控制性详细规划（公示日期2021.12）》，本次调查地块未来规划为居住用地（R21）、商业用地、道路用地，因道路占地面积为1772.8m</w:t>
      </w:r>
      <w:r>
        <w:rPr>
          <w:rFonts w:hint="eastAsia" w:ascii="仿宋" w:hAnsi="仿宋" w:eastAsia="仿宋" w:cs="仿宋"/>
          <w:color w:val="auto"/>
          <w:sz w:val="24"/>
          <w:szCs w:val="24"/>
          <w:vertAlign w:val="superscript"/>
          <w:lang w:val="en-US" w:eastAsia="zh-CN"/>
        </w:rPr>
        <w:t>2</w:t>
      </w:r>
      <w:r>
        <w:rPr>
          <w:rFonts w:hint="eastAsia" w:ascii="仿宋" w:hAnsi="仿宋" w:eastAsia="仿宋" w:cs="仿宋"/>
          <w:color w:val="auto"/>
          <w:sz w:val="24"/>
          <w:szCs w:val="24"/>
          <w:lang w:val="en-US" w:eastAsia="zh-CN"/>
        </w:rPr>
        <w:t>，其面积较小，仅占据本次调查总面积的2.9%，因此本次调查采用《土壤环境质量 建设用地土壤污染风险管控标准(试行)》（GB36600-2018）中的第一类用地的评价标准统一进行评价。根据《中华人民共和国土壤污染防治法》第五十九条：用途变更为住宅、公共管理与公共服务用地的，变更前应当按照规定进行土壤污染状况调查。</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lang w:val="en-US" w:eastAsia="zh-CN"/>
        </w:rPr>
        <w:sectPr>
          <w:headerReference r:id="rId10" w:type="default"/>
          <w:footerReference r:id="rId11"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r>
        <w:rPr>
          <w:rFonts w:hint="eastAsia" w:ascii="仿宋" w:hAnsi="仿宋" w:eastAsia="仿宋" w:cs="仿宋"/>
          <w:color w:val="auto"/>
          <w:sz w:val="24"/>
          <w:szCs w:val="24"/>
          <w:lang w:val="en-US" w:eastAsia="zh-CN"/>
        </w:rPr>
        <w:t>因此，如皋市西片区综合开发有限公司委托江苏标普检测科技有限公司开展本地块土壤污染状况调查工作。针对如皋城西片区一期桃源路东、广福路北（324# 、325# ）地块，江苏标普检测科技有限公司于2023年7月组织专业技术人员对其进行了现场踏勘，收集了地块内与地块土壤污染状况调查相关的资料，确定了调查地块的土壤和地下水监测采样点位</w:t>
      </w:r>
      <w:r>
        <w:rPr>
          <w:rFonts w:hint="eastAsia" w:ascii="仿宋" w:hAnsi="仿宋" w:eastAsia="仿宋" w:cs="仿宋"/>
          <w:color w:val="auto"/>
          <w:sz w:val="24"/>
          <w:szCs w:val="24"/>
          <w:shd w:val="clear" w:color="auto" w:fill="auto"/>
          <w:lang w:val="en-US" w:eastAsia="zh-CN"/>
        </w:rPr>
        <w:t>，并委托江苏光质检测科技有限公司于2024年</w:t>
      </w:r>
      <w:r>
        <w:rPr>
          <w:rFonts w:hint="eastAsia" w:ascii="仿宋" w:hAnsi="仿宋" w:eastAsia="仿宋" w:cs="仿宋"/>
          <w:color w:val="auto"/>
          <w:sz w:val="24"/>
          <w:szCs w:val="24"/>
          <w:highlight w:val="none"/>
          <w:shd w:val="clear" w:color="auto" w:fill="auto"/>
          <w:lang w:val="en-US" w:eastAsia="zh-CN"/>
        </w:rPr>
        <w:t>3月26日进</w:t>
      </w:r>
      <w:r>
        <w:rPr>
          <w:rFonts w:hint="eastAsia" w:ascii="仿宋" w:hAnsi="仿宋" w:eastAsia="仿宋" w:cs="仿宋"/>
          <w:color w:val="auto"/>
          <w:sz w:val="24"/>
          <w:szCs w:val="24"/>
          <w:shd w:val="clear" w:color="auto" w:fill="auto"/>
          <w:lang w:val="en-US" w:eastAsia="zh-CN"/>
        </w:rPr>
        <w:t>行地块土壤和地下水点位的现场采样，由江苏光质检测科技有限公司出具土壤、地下水等检测报告。我公司综合分析了土壤、地下水点位监测因子种类及浓度，并在此基础上编制了</w:t>
      </w:r>
      <w:r>
        <w:rPr>
          <w:rFonts w:hint="eastAsia" w:ascii="仿宋" w:hAnsi="仿宋" w:eastAsia="仿宋" w:cs="仿宋"/>
          <w:color w:val="auto"/>
          <w:sz w:val="24"/>
          <w:szCs w:val="24"/>
          <w:lang w:val="en-US" w:eastAsia="zh-CN"/>
        </w:rPr>
        <w:t>《如皋城西片区一期桃源路东、广福路北（324# 、325# ）地块土壤污染状况调查报告》。</w:t>
      </w:r>
    </w:p>
    <w:p>
      <w:pPr>
        <w:pStyle w:val="12"/>
        <w:keepNext w:val="0"/>
        <w:keepLines w:val="0"/>
        <w:pageBreakBefore w:val="0"/>
        <w:widowControl/>
        <w:kinsoku/>
        <w:wordWrap w:val="0"/>
        <w:overflowPunct/>
        <w:topLinePunct w:val="0"/>
        <w:autoSpaceDE/>
        <w:autoSpaceDN/>
        <w:bidi w:val="0"/>
        <w:adjustRightInd/>
        <w:snapToGrid/>
        <w:spacing w:before="0" w:beforeAutospacing="0" w:after="0" w:afterAutospacing="0" w:line="360" w:lineRule="auto"/>
        <w:textAlignment w:val="auto"/>
        <w:outlineLvl w:val="0"/>
        <w:rPr>
          <w:rFonts w:hint="eastAsia" w:ascii="仿宋" w:hAnsi="仿宋" w:eastAsia="仿宋" w:cs="仿宋"/>
          <w:b/>
          <w:bCs w:val="0"/>
          <w:color w:val="auto"/>
          <w:sz w:val="36"/>
          <w:szCs w:val="36"/>
          <w:lang w:val="en-US" w:eastAsia="zh-CN"/>
        </w:rPr>
      </w:pPr>
      <w:bookmarkStart w:id="23" w:name="_Toc4878"/>
      <w:bookmarkStart w:id="24" w:name="_Toc29121"/>
      <w:bookmarkStart w:id="25" w:name="_Toc20550"/>
      <w:bookmarkStart w:id="26" w:name="_Toc25521"/>
      <w:bookmarkStart w:id="27" w:name="_Toc4694"/>
      <w:r>
        <w:rPr>
          <w:rFonts w:hint="eastAsia" w:ascii="仿宋" w:hAnsi="仿宋" w:eastAsia="仿宋" w:cs="仿宋"/>
          <w:b/>
          <w:bCs w:val="0"/>
          <w:color w:val="auto"/>
          <w:sz w:val="36"/>
          <w:szCs w:val="36"/>
          <w:lang w:val="en-US" w:eastAsia="zh-CN"/>
        </w:rPr>
        <w:t>2  概述</w:t>
      </w:r>
      <w:bookmarkEnd w:id="23"/>
      <w:bookmarkEnd w:id="24"/>
      <w:bookmarkEnd w:id="25"/>
      <w:bookmarkEnd w:id="26"/>
      <w:bookmarkEnd w:id="27"/>
    </w:p>
    <w:p>
      <w:pPr>
        <w:pStyle w:val="5"/>
        <w:keepNext w:val="0"/>
        <w:keepLines w:val="0"/>
        <w:pageBreakBefore w:val="0"/>
        <w:kinsoku/>
        <w:wordWrap/>
        <w:overflowPunct/>
        <w:topLinePunct w:val="0"/>
        <w:bidi w:val="0"/>
        <w:spacing w:after="0" w:afterLines="0"/>
        <w:ind w:left="0" w:leftChars="0" w:firstLine="0" w:firstLineChars="0"/>
        <w:textAlignment w:val="auto"/>
        <w:outlineLvl w:val="1"/>
        <w:rPr>
          <w:rFonts w:hint="eastAsia" w:ascii="仿宋" w:hAnsi="仿宋" w:eastAsia="仿宋" w:cs="仿宋"/>
          <w:b/>
          <w:bCs/>
          <w:color w:val="auto"/>
          <w:sz w:val="28"/>
          <w:szCs w:val="21"/>
          <w:lang w:val="en-US" w:eastAsia="zh-CN"/>
        </w:rPr>
      </w:pPr>
      <w:bookmarkStart w:id="28" w:name="_Toc24185"/>
      <w:bookmarkStart w:id="29" w:name="_Toc4060"/>
      <w:bookmarkStart w:id="30" w:name="_Toc22724"/>
      <w:bookmarkStart w:id="31" w:name="_Toc5700"/>
      <w:r>
        <w:rPr>
          <w:rFonts w:hint="eastAsia" w:ascii="仿宋" w:hAnsi="仿宋" w:eastAsia="仿宋" w:cs="仿宋"/>
          <w:b/>
          <w:bCs/>
          <w:color w:val="auto"/>
          <w:sz w:val="28"/>
          <w:szCs w:val="21"/>
          <w:lang w:val="en-US" w:eastAsia="zh-CN"/>
        </w:rPr>
        <w:t>2.1  调查目的和原则</w:t>
      </w:r>
      <w:bookmarkEnd w:id="28"/>
      <w:bookmarkEnd w:id="29"/>
      <w:bookmarkEnd w:id="30"/>
      <w:bookmarkEnd w:id="31"/>
    </w:p>
    <w:p>
      <w:pPr>
        <w:pStyle w:val="5"/>
        <w:keepNext w:val="0"/>
        <w:keepLines w:val="0"/>
        <w:pageBreakBefore w:val="0"/>
        <w:kinsoku/>
        <w:wordWrap/>
        <w:overflowPunct/>
        <w:topLinePunct w:val="0"/>
        <w:autoSpaceDE/>
        <w:autoSpaceDN/>
        <w:bidi w:val="0"/>
        <w:adjustRightInd/>
        <w:snapToGrid/>
        <w:spacing w:after="0" w:afterLines="0" w:line="360" w:lineRule="auto"/>
        <w:ind w:left="0" w:leftChars="0" w:firstLine="0" w:firstLineChars="0"/>
        <w:textAlignment w:val="auto"/>
        <w:outlineLvl w:val="2"/>
        <w:rPr>
          <w:rFonts w:hint="eastAsia" w:ascii="仿宋" w:hAnsi="仿宋" w:eastAsia="仿宋" w:cs="仿宋"/>
          <w:b/>
          <w:bCs w:val="0"/>
          <w:color w:val="auto"/>
          <w:sz w:val="28"/>
          <w:szCs w:val="28"/>
          <w:lang w:val="en-US" w:eastAsia="zh-CN"/>
        </w:rPr>
      </w:pPr>
      <w:bookmarkStart w:id="32" w:name="_Toc1252"/>
      <w:bookmarkStart w:id="33" w:name="_Toc13960"/>
      <w:r>
        <w:rPr>
          <w:rFonts w:hint="eastAsia" w:ascii="仿宋" w:hAnsi="仿宋" w:eastAsia="仿宋" w:cs="仿宋"/>
          <w:b/>
          <w:bCs w:val="0"/>
          <w:color w:val="auto"/>
          <w:sz w:val="28"/>
          <w:szCs w:val="28"/>
          <w:lang w:val="en-US" w:eastAsia="zh-CN"/>
        </w:rPr>
        <w:t>2.1.1 调查目的</w:t>
      </w:r>
      <w:bookmarkEnd w:id="32"/>
      <w:bookmarkEnd w:id="33"/>
    </w:p>
    <w:p>
      <w:pPr>
        <w:keepNext w:val="0"/>
        <w:keepLines w:val="0"/>
        <w:pageBreakBefore w:val="0"/>
        <w:widowControl/>
        <w:kinsoku/>
        <w:wordWrap/>
        <w:overflowPunct/>
        <w:topLinePunct w:val="0"/>
        <w:bidi w:val="0"/>
        <w:spacing w:line="360" w:lineRule="auto"/>
        <w:ind w:firstLine="48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根据《建设用地土壤污染状况调查技术导则》（HJ25.1-2019）、《建设用地土壤污染风险管控和修复监测技术导则（HJ25.2-2019）》、《建设用地土壤环境调查评估技术指南》等导则及相关技术性规范，开展</w:t>
      </w:r>
      <w:r>
        <w:rPr>
          <w:rFonts w:hint="eastAsia" w:ascii="仿宋" w:hAnsi="仿宋" w:eastAsia="仿宋" w:cs="仿宋"/>
          <w:color w:val="auto"/>
          <w:sz w:val="24"/>
          <w:szCs w:val="24"/>
          <w:lang w:val="en-US" w:eastAsia="zh-CN"/>
        </w:rPr>
        <w:t>如皋城西片区一期桃源路东、广福路北（324# 、325# ）地块土</w:t>
      </w:r>
      <w:r>
        <w:rPr>
          <w:rFonts w:hint="eastAsia" w:ascii="仿宋" w:hAnsi="仿宋" w:eastAsia="仿宋" w:cs="仿宋"/>
          <w:color w:val="auto"/>
          <w:sz w:val="24"/>
          <w:szCs w:val="24"/>
        </w:rPr>
        <w:t>壤污染状况调查，对地块的土壤和地下水的环境</w:t>
      </w:r>
      <w:r>
        <w:rPr>
          <w:rFonts w:hint="eastAsia" w:ascii="仿宋" w:hAnsi="仿宋" w:eastAsia="仿宋" w:cs="仿宋"/>
          <w:color w:val="auto"/>
          <w:sz w:val="24"/>
          <w:szCs w:val="24"/>
          <w:lang w:val="en-US" w:eastAsia="zh-CN"/>
        </w:rPr>
        <w:t>状况</w:t>
      </w:r>
      <w:r>
        <w:rPr>
          <w:rFonts w:hint="eastAsia" w:ascii="仿宋" w:hAnsi="仿宋" w:eastAsia="仿宋" w:cs="仿宋"/>
          <w:color w:val="auto"/>
          <w:sz w:val="24"/>
          <w:szCs w:val="24"/>
        </w:rPr>
        <w:t>进行评价。通过土壤和地下水样品采集、检测分析，确定地块环境质量是否满足建设用地的环境质量要求，对后续工作提供指导建议。</w:t>
      </w:r>
    </w:p>
    <w:p>
      <w:pPr>
        <w:pStyle w:val="5"/>
        <w:keepNext w:val="0"/>
        <w:keepLines w:val="0"/>
        <w:pageBreakBefore w:val="0"/>
        <w:kinsoku/>
        <w:wordWrap/>
        <w:overflowPunct/>
        <w:topLinePunct w:val="0"/>
        <w:autoSpaceDE/>
        <w:autoSpaceDN/>
        <w:bidi w:val="0"/>
        <w:adjustRightInd/>
        <w:snapToGrid/>
        <w:spacing w:after="0" w:afterLines="0" w:line="360" w:lineRule="auto"/>
        <w:ind w:left="0" w:leftChars="0" w:firstLine="0" w:firstLineChars="0"/>
        <w:textAlignment w:val="auto"/>
        <w:outlineLvl w:val="2"/>
        <w:rPr>
          <w:rFonts w:hint="default" w:ascii="仿宋" w:hAnsi="仿宋" w:eastAsia="仿宋" w:cs="仿宋"/>
          <w:b/>
          <w:bCs w:val="0"/>
          <w:color w:val="auto"/>
          <w:sz w:val="28"/>
          <w:szCs w:val="28"/>
          <w:lang w:val="en-US" w:eastAsia="zh-CN"/>
        </w:rPr>
      </w:pPr>
      <w:bookmarkStart w:id="34" w:name="_Toc19955"/>
      <w:bookmarkStart w:id="35" w:name="_Toc7532"/>
      <w:bookmarkStart w:id="36" w:name="_Toc28901"/>
      <w:bookmarkStart w:id="37" w:name="_Toc12226"/>
      <w:bookmarkStart w:id="38" w:name="_Toc12094"/>
      <w:bookmarkStart w:id="39" w:name="_Toc9813"/>
      <w:r>
        <w:rPr>
          <w:rFonts w:hint="eastAsia" w:ascii="仿宋" w:hAnsi="仿宋" w:eastAsia="仿宋" w:cs="仿宋"/>
          <w:b/>
          <w:bCs w:val="0"/>
          <w:color w:val="auto"/>
          <w:sz w:val="28"/>
          <w:szCs w:val="28"/>
          <w:lang w:val="en-US" w:eastAsia="zh-CN"/>
        </w:rPr>
        <w:t>2.1.2 调查原</w:t>
      </w:r>
      <w:bookmarkEnd w:id="34"/>
      <w:bookmarkEnd w:id="35"/>
      <w:bookmarkEnd w:id="36"/>
      <w:bookmarkEnd w:id="37"/>
      <w:bookmarkEnd w:id="38"/>
      <w:bookmarkEnd w:id="39"/>
      <w:r>
        <w:rPr>
          <w:rFonts w:hint="eastAsia" w:ascii="仿宋" w:hAnsi="仿宋" w:eastAsia="仿宋" w:cs="仿宋"/>
          <w:b/>
          <w:bCs w:val="0"/>
          <w:color w:val="auto"/>
          <w:sz w:val="28"/>
          <w:szCs w:val="28"/>
          <w:lang w:val="en-US" w:eastAsia="zh-CN"/>
        </w:rPr>
        <w:t>则</w:t>
      </w:r>
    </w:p>
    <w:p>
      <w:pPr>
        <w:keepNext w:val="0"/>
        <w:keepLines w:val="0"/>
        <w:pageBreakBefore w:val="0"/>
        <w:kinsoku/>
        <w:wordWrap/>
        <w:overflowPunct/>
        <w:topLinePunct w:val="0"/>
        <w:autoSpaceDE w:val="0"/>
        <w:autoSpaceDN w:val="0"/>
        <w:bidi w:val="0"/>
        <w:adjustRightInd w:val="0"/>
        <w:snapToGrid w:val="0"/>
        <w:ind w:firstLine="480"/>
        <w:jc w:val="left"/>
        <w:textAlignment w:val="auto"/>
        <w:rPr>
          <w:rFonts w:hint="eastAsia" w:ascii="仿宋" w:hAnsi="仿宋" w:eastAsia="仿宋" w:cs="仿宋"/>
          <w:bCs/>
          <w:color w:val="auto"/>
          <w:kern w:val="0"/>
        </w:rPr>
      </w:pPr>
      <w:r>
        <w:rPr>
          <w:rFonts w:hint="eastAsia" w:ascii="仿宋" w:hAnsi="仿宋" w:eastAsia="仿宋" w:cs="仿宋"/>
          <w:bCs/>
          <w:color w:val="auto"/>
          <w:kern w:val="0"/>
        </w:rPr>
        <w:t>（1）针对性原则</w:t>
      </w:r>
    </w:p>
    <w:p>
      <w:pPr>
        <w:keepNext w:val="0"/>
        <w:keepLines w:val="0"/>
        <w:pageBreakBefore w:val="0"/>
        <w:kinsoku/>
        <w:wordWrap/>
        <w:overflowPunct/>
        <w:topLinePunct w:val="0"/>
        <w:autoSpaceDE w:val="0"/>
        <w:autoSpaceDN w:val="0"/>
        <w:bidi w:val="0"/>
        <w:adjustRightInd w:val="0"/>
        <w:snapToGrid w:val="0"/>
        <w:ind w:firstLine="480"/>
        <w:jc w:val="left"/>
        <w:textAlignment w:val="auto"/>
        <w:rPr>
          <w:rFonts w:hint="eastAsia" w:ascii="仿宋" w:hAnsi="仿宋" w:eastAsia="仿宋" w:cs="仿宋"/>
          <w:bCs/>
          <w:color w:val="auto"/>
          <w:kern w:val="0"/>
        </w:rPr>
      </w:pPr>
      <w:r>
        <w:rPr>
          <w:rFonts w:hint="eastAsia" w:ascii="仿宋" w:hAnsi="仿宋" w:eastAsia="仿宋" w:cs="仿宋"/>
          <w:bCs/>
          <w:color w:val="auto"/>
          <w:kern w:val="0"/>
        </w:rPr>
        <w:t>针对地块土壤和地下水污染特点，根据目标地块土壤类型及各层分布情况、地下水埋深、地下水流向、原使用情况、生产历史等对地块各个区域进行针对性调查，</w:t>
      </w:r>
      <w:r>
        <w:rPr>
          <w:rFonts w:hint="eastAsia" w:ascii="仿宋" w:hAnsi="仿宋" w:eastAsia="仿宋" w:cs="仿宋"/>
          <w:color w:val="auto"/>
        </w:rPr>
        <w:t>为地块的环境管理提供依据</w:t>
      </w:r>
      <w:r>
        <w:rPr>
          <w:rFonts w:hint="eastAsia" w:ascii="仿宋" w:hAnsi="仿宋" w:eastAsia="仿宋" w:cs="仿宋"/>
          <w:bCs/>
          <w:color w:val="auto"/>
          <w:kern w:val="0"/>
        </w:rPr>
        <w:t>。</w:t>
      </w:r>
    </w:p>
    <w:p>
      <w:pPr>
        <w:keepNext w:val="0"/>
        <w:keepLines w:val="0"/>
        <w:pageBreakBefore w:val="0"/>
        <w:kinsoku/>
        <w:wordWrap/>
        <w:overflowPunct/>
        <w:topLinePunct w:val="0"/>
        <w:autoSpaceDE w:val="0"/>
        <w:autoSpaceDN w:val="0"/>
        <w:bidi w:val="0"/>
        <w:adjustRightInd w:val="0"/>
        <w:snapToGrid w:val="0"/>
        <w:ind w:firstLine="480"/>
        <w:jc w:val="left"/>
        <w:textAlignment w:val="auto"/>
        <w:rPr>
          <w:rFonts w:hint="eastAsia" w:ascii="仿宋" w:hAnsi="仿宋" w:eastAsia="仿宋" w:cs="仿宋"/>
          <w:bCs/>
          <w:color w:val="auto"/>
          <w:kern w:val="0"/>
        </w:rPr>
      </w:pPr>
      <w:r>
        <w:rPr>
          <w:rFonts w:hint="eastAsia" w:ascii="仿宋" w:hAnsi="仿宋" w:eastAsia="仿宋" w:cs="仿宋"/>
          <w:bCs/>
          <w:color w:val="auto"/>
          <w:kern w:val="0"/>
        </w:rPr>
        <w:t>（2）规范性原则</w:t>
      </w:r>
    </w:p>
    <w:p>
      <w:pPr>
        <w:keepNext w:val="0"/>
        <w:keepLines w:val="0"/>
        <w:pageBreakBefore w:val="0"/>
        <w:kinsoku/>
        <w:wordWrap/>
        <w:overflowPunct/>
        <w:topLinePunct w:val="0"/>
        <w:autoSpaceDE w:val="0"/>
        <w:autoSpaceDN w:val="0"/>
        <w:bidi w:val="0"/>
        <w:adjustRightInd w:val="0"/>
        <w:snapToGrid w:val="0"/>
        <w:ind w:firstLine="480"/>
        <w:jc w:val="left"/>
        <w:textAlignment w:val="auto"/>
        <w:rPr>
          <w:rFonts w:hint="eastAsia" w:ascii="仿宋" w:hAnsi="仿宋" w:eastAsia="仿宋" w:cs="仿宋"/>
          <w:bCs/>
          <w:color w:val="auto"/>
          <w:kern w:val="0"/>
        </w:rPr>
      </w:pPr>
      <w:r>
        <w:rPr>
          <w:rFonts w:hint="eastAsia" w:ascii="仿宋" w:hAnsi="仿宋" w:eastAsia="仿宋" w:cs="仿宋"/>
          <w:bCs/>
          <w:color w:val="auto"/>
          <w:kern w:val="0"/>
        </w:rPr>
        <w:t>严格按照国内地块调查最新的相关技术规范开展工作，从布点方案编制、现场点位采样、样品保存运输到样品分析等一系列过程的各个环节进行严格的质量控制，以确保调查过程和调查结果的科学性、准确性和客观性。</w:t>
      </w:r>
    </w:p>
    <w:p>
      <w:pPr>
        <w:keepNext w:val="0"/>
        <w:keepLines w:val="0"/>
        <w:pageBreakBefore w:val="0"/>
        <w:kinsoku/>
        <w:wordWrap/>
        <w:overflowPunct/>
        <w:topLinePunct w:val="0"/>
        <w:autoSpaceDE w:val="0"/>
        <w:autoSpaceDN w:val="0"/>
        <w:bidi w:val="0"/>
        <w:adjustRightInd w:val="0"/>
        <w:snapToGrid w:val="0"/>
        <w:ind w:firstLine="480"/>
        <w:jc w:val="left"/>
        <w:textAlignment w:val="auto"/>
        <w:rPr>
          <w:rFonts w:hint="eastAsia" w:ascii="仿宋" w:hAnsi="仿宋" w:eastAsia="仿宋" w:cs="仿宋"/>
          <w:bCs/>
          <w:color w:val="auto"/>
          <w:kern w:val="0"/>
        </w:rPr>
      </w:pPr>
      <w:r>
        <w:rPr>
          <w:rFonts w:hint="eastAsia" w:ascii="仿宋" w:hAnsi="仿宋" w:eastAsia="仿宋" w:cs="仿宋"/>
          <w:bCs/>
          <w:color w:val="auto"/>
          <w:kern w:val="0"/>
        </w:rPr>
        <w:t>（3）可操作性原则</w:t>
      </w:r>
    </w:p>
    <w:p>
      <w:pPr>
        <w:keepNext w:val="0"/>
        <w:keepLines w:val="0"/>
        <w:pageBreakBefore w:val="0"/>
        <w:kinsoku/>
        <w:wordWrap/>
        <w:overflowPunct/>
        <w:topLinePunct w:val="0"/>
        <w:autoSpaceDE w:val="0"/>
        <w:autoSpaceDN w:val="0"/>
        <w:bidi w:val="0"/>
        <w:adjustRightInd w:val="0"/>
        <w:snapToGrid w:val="0"/>
        <w:ind w:firstLine="480"/>
        <w:jc w:val="left"/>
        <w:textAlignment w:val="auto"/>
        <w:rPr>
          <w:rFonts w:hint="eastAsia" w:ascii="仿宋" w:hAnsi="仿宋" w:eastAsia="仿宋" w:cs="仿宋"/>
          <w:bCs/>
          <w:color w:val="auto"/>
          <w:kern w:val="0"/>
        </w:rPr>
      </w:pPr>
      <w:r>
        <w:rPr>
          <w:rFonts w:hint="eastAsia" w:ascii="仿宋" w:hAnsi="仿宋" w:eastAsia="仿宋" w:cs="仿宋"/>
          <w:bCs/>
          <w:color w:val="auto"/>
          <w:kern w:val="0"/>
        </w:rPr>
        <w:t>开展调查工作时要综合考虑调查方法、调查时间、调查经费以及现场条件等客观因素，制定切实可行的实施方案，确保调查工作的顺利进行。</w:t>
      </w:r>
    </w:p>
    <w:p>
      <w:pPr>
        <w:pStyle w:val="5"/>
        <w:keepNext w:val="0"/>
        <w:keepLines w:val="0"/>
        <w:pageBreakBefore w:val="0"/>
        <w:kinsoku/>
        <w:wordWrap/>
        <w:overflowPunct/>
        <w:topLinePunct w:val="0"/>
        <w:bidi w:val="0"/>
        <w:spacing w:after="0" w:afterLines="0"/>
        <w:ind w:left="0" w:leftChars="0" w:firstLine="0" w:firstLineChars="0"/>
        <w:textAlignment w:val="auto"/>
        <w:outlineLvl w:val="1"/>
        <w:rPr>
          <w:rFonts w:hint="eastAsia" w:ascii="仿宋" w:hAnsi="仿宋" w:eastAsia="仿宋" w:cs="仿宋"/>
          <w:b/>
          <w:bCs/>
          <w:color w:val="auto"/>
          <w:sz w:val="28"/>
          <w:szCs w:val="21"/>
          <w:lang w:val="en-US" w:eastAsia="zh-CN"/>
        </w:rPr>
      </w:pPr>
      <w:bookmarkStart w:id="40" w:name="_Toc10198"/>
      <w:bookmarkStart w:id="41" w:name="_Toc25393"/>
      <w:bookmarkStart w:id="42" w:name="_Toc11616"/>
      <w:bookmarkStart w:id="43" w:name="_Toc6932"/>
      <w:bookmarkStart w:id="44" w:name="_Toc23409"/>
      <w:bookmarkStart w:id="45" w:name="_Toc68"/>
      <w:bookmarkStart w:id="46" w:name="_Toc28064"/>
      <w:bookmarkStart w:id="47" w:name="_Toc347"/>
      <w:bookmarkStart w:id="48" w:name="_Toc25636"/>
      <w:r>
        <w:rPr>
          <w:rFonts w:hint="eastAsia" w:ascii="仿宋" w:hAnsi="仿宋" w:eastAsia="仿宋" w:cs="仿宋"/>
          <w:b/>
          <w:bCs/>
          <w:color w:val="auto"/>
          <w:sz w:val="28"/>
          <w:szCs w:val="21"/>
          <w:lang w:val="en-US" w:eastAsia="zh-CN"/>
        </w:rPr>
        <w:t>2.2  调查范围</w:t>
      </w:r>
      <w:bookmarkEnd w:id="40"/>
      <w:bookmarkEnd w:id="41"/>
      <w:bookmarkEnd w:id="42"/>
      <w:bookmarkEnd w:id="43"/>
      <w:bookmarkEnd w:id="44"/>
      <w:bookmarkEnd w:id="45"/>
      <w:bookmarkEnd w:id="46"/>
      <w:bookmarkEnd w:id="47"/>
      <w:bookmarkEnd w:id="48"/>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bookmarkStart w:id="49" w:name="_Toc10063"/>
      <w:bookmarkStart w:id="50" w:name="_Toc10128"/>
      <w:bookmarkStart w:id="51" w:name="_Toc13604"/>
      <w:bookmarkStart w:id="52" w:name="_Toc8604"/>
      <w:bookmarkStart w:id="53" w:name="_Toc30906"/>
      <w:r>
        <w:rPr>
          <w:rFonts w:hint="eastAsia" w:ascii="仿宋" w:hAnsi="仿宋" w:eastAsia="仿宋" w:cs="仿宋"/>
          <w:b w:val="0"/>
          <w:bCs w:val="0"/>
          <w:color w:val="auto"/>
          <w:sz w:val="24"/>
          <w:szCs w:val="32"/>
          <w:lang w:val="en-US" w:eastAsia="zh-CN"/>
        </w:rPr>
        <w:t>如皋城西片区一期桃源路东、广福路北（324# 、325# ）地块</w:t>
      </w:r>
      <w:r>
        <w:rPr>
          <w:rFonts w:hint="default" w:ascii="仿宋" w:hAnsi="仿宋" w:eastAsia="仿宋" w:cs="仿宋"/>
          <w:b w:val="0"/>
          <w:bCs w:val="0"/>
          <w:color w:val="auto"/>
          <w:sz w:val="24"/>
          <w:szCs w:val="32"/>
          <w:lang w:val="en-US" w:eastAsia="zh-CN"/>
        </w:rPr>
        <w:t>位于</w:t>
      </w:r>
      <w:r>
        <w:rPr>
          <w:rFonts w:hint="eastAsia" w:ascii="仿宋" w:hAnsi="仿宋" w:eastAsia="仿宋" w:cs="仿宋"/>
          <w:b w:val="0"/>
          <w:bCs w:val="0"/>
          <w:color w:val="auto"/>
          <w:sz w:val="24"/>
          <w:szCs w:val="32"/>
          <w:lang w:val="en-US" w:eastAsia="zh-CN"/>
        </w:rPr>
        <w:t>南通如皋市城北街道东风社区</w:t>
      </w:r>
      <w:r>
        <w:rPr>
          <w:rFonts w:hint="default" w:ascii="仿宋" w:hAnsi="仿宋" w:eastAsia="仿宋" w:cs="仿宋"/>
          <w:b w:val="0"/>
          <w:bCs w:val="0"/>
          <w:color w:val="auto"/>
          <w:sz w:val="24"/>
          <w:szCs w:val="32"/>
          <w:lang w:val="en-US" w:eastAsia="zh-CN"/>
        </w:rPr>
        <w:t>。</w:t>
      </w:r>
      <w:r>
        <w:rPr>
          <w:rFonts w:hint="eastAsia" w:ascii="仿宋" w:hAnsi="仿宋" w:eastAsia="仿宋" w:cs="仿宋"/>
          <w:b w:val="0"/>
          <w:bCs w:val="0"/>
          <w:color w:val="auto"/>
          <w:sz w:val="24"/>
          <w:szCs w:val="32"/>
          <w:lang w:val="en-US" w:eastAsia="zh-CN"/>
        </w:rPr>
        <w:t>本次调查范围包含委托单位需开发利用的324#和325#两个地块（规划为居住用地、商业用地、道路）的红线范围。</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default"/>
          <w:color w:val="auto"/>
          <w:lang w:val="en-US"/>
        </w:rPr>
      </w:pPr>
      <w:r>
        <w:rPr>
          <w:rFonts w:hint="eastAsia" w:ascii="仿宋" w:hAnsi="仿宋" w:eastAsia="仿宋" w:cs="仿宋"/>
          <w:b w:val="0"/>
          <w:bCs w:val="0"/>
          <w:color w:val="auto"/>
          <w:sz w:val="24"/>
          <w:szCs w:val="32"/>
          <w:lang w:val="en-US" w:eastAsia="zh-CN"/>
        </w:rPr>
        <w:t>本次调查范围见图2.2-1。</w:t>
      </w:r>
      <w:r>
        <w:rPr>
          <w:rFonts w:hint="eastAsia" w:ascii="仿宋" w:hAnsi="仿宋" w:eastAsia="仿宋" w:cs="仿宋"/>
          <w:b/>
          <w:bCs/>
          <w:color w:val="auto"/>
          <w:sz w:val="24"/>
          <w:szCs w:val="32"/>
          <w:lang w:val="en-US" w:eastAsia="zh-CN"/>
        </w:rPr>
        <w:t>红线图详见附件一。拐点坐标来源于业主提供的CAD版红线图。</w:t>
      </w:r>
      <w:r>
        <w:rPr>
          <w:rFonts w:hint="eastAsia" w:ascii="仿宋" w:hAnsi="仿宋" w:eastAsia="仿宋" w:cs="仿宋"/>
          <w:b w:val="0"/>
          <w:bCs w:val="0"/>
          <w:color w:val="auto"/>
          <w:sz w:val="24"/>
          <w:szCs w:val="32"/>
          <w:lang w:val="en-US" w:eastAsia="zh-CN"/>
        </w:rPr>
        <w:t>本次调查范围于两个地块红线关系图见图2.2-2。</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9"/>
        <w:rPr>
          <w:rFonts w:hint="eastAsia" w:eastAsia="宋体"/>
          <w:color w:val="auto"/>
          <w:lang w:eastAsia="zh-CN"/>
        </w:rPr>
      </w:pPr>
      <w:r>
        <w:rPr>
          <w:sz w:val="21"/>
        </w:rPr>
        <mc:AlternateContent>
          <mc:Choice Requires="wps">
            <w:drawing>
              <wp:anchor distT="0" distB="0" distL="114300" distR="114300" simplePos="0" relativeHeight="251659264" behindDoc="0" locked="0" layoutInCell="1" allowOverlap="1">
                <wp:simplePos x="0" y="0"/>
                <wp:positionH relativeFrom="column">
                  <wp:posOffset>4341495</wp:posOffset>
                </wp:positionH>
                <wp:positionV relativeFrom="paragraph">
                  <wp:posOffset>2686050</wp:posOffset>
                </wp:positionV>
                <wp:extent cx="123190" cy="92075"/>
                <wp:effectExtent l="5080" t="4445" r="5080" b="17780"/>
                <wp:wrapNone/>
                <wp:docPr id="7" name="矩形 7"/>
                <wp:cNvGraphicFramePr/>
                <a:graphic xmlns:a="http://schemas.openxmlformats.org/drawingml/2006/main">
                  <a:graphicData uri="http://schemas.microsoft.com/office/word/2010/wordprocessingShape">
                    <wps:wsp>
                      <wps:cNvSpPr/>
                      <wps:spPr>
                        <a:xfrm>
                          <a:off x="0" y="0"/>
                          <a:ext cx="123190" cy="92075"/>
                        </a:xfrm>
                        <a:prstGeom prst="rect">
                          <a:avLst/>
                        </a:prstGeom>
                        <a:solidFill>
                          <a:srgbClr val="FFFFFF"/>
                        </a:solidFill>
                        <a:ln w="9525" cap="flat" cmpd="sng">
                          <a:solidFill>
                            <a:srgbClr val="FF0000"/>
                          </a:solidFill>
                          <a:prstDash val="solid"/>
                          <a:miter/>
                          <a:headEnd type="none" w="med" len="med"/>
                          <a:tailEnd type="none" w="med" len="med"/>
                        </a:ln>
                      </wps:spPr>
                      <wps:bodyPr upright="1"/>
                    </wps:wsp>
                  </a:graphicData>
                </a:graphic>
              </wp:anchor>
            </w:drawing>
          </mc:Choice>
          <mc:Fallback>
            <w:pict>
              <v:rect id="_x0000_s1026" o:spid="_x0000_s1026" o:spt="1" style="position:absolute;left:0pt;margin-left:341.85pt;margin-top:211.5pt;height:7.25pt;width:9.7pt;z-index:251659264;mso-width-relative:page;mso-height-relative:page;" fillcolor="#FFFFFF" filled="t" stroked="t" coordsize="21600,21600" o:gfxdata="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ABPSQbZAAAACwEAAA8AAAAAAAAAAQAgAAAAIgAAAGRycy9kb3ducmV2Lnht&#10;bFBLAQIUABQAAAAIAIdO4kBYBnw6+AEAABwEAAAOAAAAAAAAAAEAIAAAACgBAABkcnMvZTJvRG9j&#10;LnhtbFBLBQYAAAAABgAGAFkBAACSBQAAAAA=&#10;">
                <v:path/>
                <v:fill on="t" focussize="0,0"/>
                <v:stroke color="#FF0000" joinstyle="miter"/>
                <v:imagedata o:title=""/>
                <o:lock v:ext="edit" aspectratio="f"/>
              </v:rect>
            </w:pict>
          </mc:Fallback>
        </mc:AlternateContent>
      </w:r>
      <w:r>
        <w:rPr>
          <w:color w:val="auto"/>
          <w:sz w:val="21"/>
        </w:rPr>
        <w:drawing>
          <wp:inline distT="0" distB="0" distL="114300" distR="114300">
            <wp:extent cx="5262245" cy="3559175"/>
            <wp:effectExtent l="0" t="0" r="14605" b="3175"/>
            <wp:docPr id="5" name="图片 2" descr="1709531284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1709531284690"/>
                    <pic:cNvPicPr>
                      <a:picLocks noChangeAspect="1"/>
                    </pic:cNvPicPr>
                  </pic:nvPicPr>
                  <pic:blipFill>
                    <a:blip r:embed="rId16"/>
                    <a:stretch>
                      <a:fillRect/>
                    </a:stretch>
                  </pic:blipFill>
                  <pic:spPr>
                    <a:xfrm>
                      <a:off x="0" y="0"/>
                      <a:ext cx="5262245" cy="355917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仿宋" w:hAnsi="仿宋" w:eastAsia="仿宋" w:cs="仿宋"/>
          <w:b/>
          <w:bCs/>
          <w:color w:val="auto"/>
          <w:sz w:val="24"/>
          <w:szCs w:val="32"/>
          <w:lang w:val="en-US" w:eastAsia="zh-CN"/>
        </w:rPr>
      </w:pPr>
      <w:r>
        <w:rPr>
          <w:rFonts w:hint="eastAsia" w:ascii="仿宋" w:hAnsi="仿宋" w:eastAsia="仿宋" w:cs="仿宋"/>
          <w:b/>
          <w:bCs/>
          <w:color w:val="auto"/>
          <w:sz w:val="24"/>
          <w:szCs w:val="32"/>
          <w:lang w:val="en-US" w:eastAsia="zh-CN"/>
        </w:rPr>
        <w:t>图2.2-1  本次调查范围拐点图</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0" w:firstLineChars="0"/>
        <w:jc w:val="center"/>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bCs/>
          <w:color w:val="auto"/>
          <w:sz w:val="24"/>
          <w:szCs w:val="32"/>
          <w:lang w:val="en-US" w:eastAsia="zh-CN"/>
        </w:rPr>
        <w:drawing>
          <wp:inline distT="0" distB="0" distL="114300" distR="114300">
            <wp:extent cx="4815840" cy="3405505"/>
            <wp:effectExtent l="9525" t="9525" r="13335" b="13970"/>
            <wp:docPr id="9" name="图片 3" descr="324拐点坐标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descr="324拐点坐标_00"/>
                    <pic:cNvPicPr>
                      <a:picLocks noChangeAspect="1"/>
                    </pic:cNvPicPr>
                  </pic:nvPicPr>
                  <pic:blipFill>
                    <a:blip r:embed="rId17"/>
                    <a:stretch>
                      <a:fillRect/>
                    </a:stretch>
                  </pic:blipFill>
                  <pic:spPr>
                    <a:xfrm>
                      <a:off x="0" y="0"/>
                      <a:ext cx="4815840" cy="3405505"/>
                    </a:xfrm>
                    <a:prstGeom prst="rect">
                      <a:avLst/>
                    </a:prstGeom>
                    <a:noFill/>
                    <a:ln w="9525" cap="flat" cmpd="sng">
                      <a:solidFill>
                        <a:srgbClr val="000000"/>
                      </a:solidFill>
                      <a:prstDash val="solid"/>
                      <a:miter/>
                      <a:headEnd type="none" w="med" len="med"/>
                      <a:tailEnd type="none" w="med" len="med"/>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0" w:firstLineChars="0"/>
        <w:jc w:val="center"/>
        <w:textAlignment w:val="auto"/>
        <w:outlineLvl w:val="9"/>
        <w:rPr>
          <w:rFonts w:hint="eastAsia" w:ascii="仿宋" w:hAnsi="仿宋" w:eastAsia="仿宋" w:cs="仿宋"/>
          <w:b/>
          <w:bCs/>
          <w:color w:val="auto"/>
          <w:sz w:val="24"/>
          <w:szCs w:val="32"/>
          <w:lang w:val="en-US" w:eastAsia="zh-CN"/>
        </w:rPr>
      </w:pPr>
      <w:r>
        <w:rPr>
          <w:rFonts w:hint="eastAsia" w:ascii="仿宋" w:hAnsi="仿宋" w:eastAsia="仿宋" w:cs="仿宋"/>
          <w:b/>
          <w:bCs/>
          <w:color w:val="auto"/>
          <w:sz w:val="24"/>
          <w:szCs w:val="32"/>
          <w:lang w:val="en-US" w:eastAsia="zh-CN"/>
        </w:rPr>
        <w:t>图2.2-2  本次调查地块（324#）红线图CAD版（含地块编号、拐点坐标）</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宋体" w:cs="仿宋"/>
          <w:b w:val="0"/>
          <w:bCs w:val="0"/>
          <w:color w:val="auto"/>
          <w:sz w:val="24"/>
          <w:szCs w:val="32"/>
          <w:lang w:val="en-US" w:eastAsia="zh-CN"/>
        </w:rPr>
        <w:drawing>
          <wp:inline distT="0" distB="0" distL="114300" distR="114300">
            <wp:extent cx="4907280" cy="3470275"/>
            <wp:effectExtent l="9525" t="9525" r="17145" b="25400"/>
            <wp:docPr id="8" name="图片 4" descr="325拐点坐标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descr="325拐点坐标_00"/>
                    <pic:cNvPicPr>
                      <a:picLocks noChangeAspect="1"/>
                    </pic:cNvPicPr>
                  </pic:nvPicPr>
                  <pic:blipFill>
                    <a:blip r:embed="rId18"/>
                    <a:stretch>
                      <a:fillRect/>
                    </a:stretch>
                  </pic:blipFill>
                  <pic:spPr>
                    <a:xfrm>
                      <a:off x="0" y="0"/>
                      <a:ext cx="4907280" cy="3470275"/>
                    </a:xfrm>
                    <a:prstGeom prst="rect">
                      <a:avLst/>
                    </a:prstGeom>
                    <a:noFill/>
                    <a:ln w="9525" cap="flat" cmpd="sng">
                      <a:solidFill>
                        <a:srgbClr val="000000"/>
                      </a:solidFill>
                      <a:prstDash val="solid"/>
                      <a:miter/>
                      <a:headEnd type="none" w="med" len="med"/>
                      <a:tailEnd type="none" w="med" len="med"/>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0" w:firstLineChars="0"/>
        <w:jc w:val="center"/>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bCs/>
          <w:color w:val="auto"/>
          <w:sz w:val="24"/>
          <w:szCs w:val="32"/>
          <w:lang w:val="en-US" w:eastAsia="zh-CN"/>
        </w:rPr>
        <w:t>图2.2-3  本次调查地块（325#）红线图CAD版（含地块编号、拐点坐标）</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default"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本报告中所有点位坐标均采用 CGCS2000 坐标系，拐点坐标如下表所示。</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仿宋" w:hAnsi="仿宋" w:eastAsia="仿宋" w:cs="仿宋"/>
          <w:b/>
          <w:bCs/>
          <w:color w:val="auto"/>
          <w:lang w:val="en-US" w:eastAsia="zh-CN"/>
        </w:rPr>
      </w:pPr>
      <w:r>
        <w:rPr>
          <w:rFonts w:hint="eastAsia" w:ascii="仿宋" w:hAnsi="仿宋" w:eastAsia="仿宋" w:cs="仿宋"/>
          <w:b/>
          <w:bCs/>
          <w:color w:val="auto"/>
          <w:lang w:val="en-US" w:eastAsia="zh-CN"/>
        </w:rPr>
        <w:t>表2.2-1  调查范围拐点坐标</w:t>
      </w:r>
    </w:p>
    <w:tbl>
      <w:tblPr>
        <w:tblStyle w:val="1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93"/>
        <w:gridCol w:w="3621"/>
        <w:gridCol w:w="31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105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color w:val="auto"/>
                <w:sz w:val="21"/>
                <w:szCs w:val="21"/>
                <w:highlight w:val="none"/>
              </w:rPr>
            </w:pPr>
            <w:r>
              <w:rPr>
                <w:rFonts w:hint="eastAsia" w:ascii="仿宋" w:hAnsi="仿宋" w:eastAsia="仿宋" w:cs="仿宋"/>
                <w:b/>
                <w:color w:val="auto"/>
                <w:sz w:val="21"/>
                <w:szCs w:val="21"/>
                <w:highlight w:val="none"/>
              </w:rPr>
              <w:t>拐点编号</w:t>
            </w:r>
          </w:p>
        </w:tc>
        <w:tc>
          <w:tcPr>
            <w:tcW w:w="2125"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eastAsia" w:ascii="仿宋" w:hAnsi="仿宋" w:eastAsia="仿宋" w:cs="仿宋"/>
                <w:b/>
                <w:color w:val="auto"/>
                <w:sz w:val="21"/>
                <w:szCs w:val="21"/>
                <w:highlight w:val="none"/>
                <w:lang w:eastAsia="zh-CN"/>
              </w:rPr>
            </w:pPr>
            <w:r>
              <w:rPr>
                <w:rFonts w:hint="eastAsia" w:ascii="仿宋" w:hAnsi="仿宋" w:eastAsia="仿宋" w:cs="仿宋"/>
                <w:b w:val="0"/>
                <w:bCs w:val="0"/>
                <w:color w:val="auto"/>
                <w:sz w:val="21"/>
                <w:szCs w:val="21"/>
                <w:lang w:val="en-US" w:eastAsia="zh-CN"/>
              </w:rPr>
              <w:t>X</w:t>
            </w:r>
          </w:p>
        </w:tc>
        <w:tc>
          <w:tcPr>
            <w:tcW w:w="1822"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eastAsia" w:ascii="仿宋" w:hAnsi="仿宋" w:eastAsia="仿宋" w:cs="仿宋"/>
                <w:b/>
                <w:color w:val="auto"/>
                <w:sz w:val="21"/>
                <w:szCs w:val="21"/>
                <w:highlight w:val="none"/>
                <w:lang w:eastAsia="zh-CN"/>
              </w:rPr>
            </w:pPr>
            <w:r>
              <w:rPr>
                <w:rFonts w:hint="eastAsia" w:ascii="仿宋" w:hAnsi="仿宋" w:eastAsia="仿宋" w:cs="仿宋"/>
                <w:b w:val="0"/>
                <w:bCs w:val="0"/>
                <w:color w:val="auto"/>
                <w:sz w:val="21"/>
                <w:szCs w:val="21"/>
                <w:lang w:val="en-US" w:eastAsia="zh-CN"/>
              </w:rPr>
              <w: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5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仿宋" w:hAnsi="仿宋" w:eastAsia="仿宋" w:cs="仿宋"/>
                <w:bCs/>
                <w:color w:val="auto"/>
                <w:sz w:val="21"/>
                <w:szCs w:val="21"/>
                <w:highlight w:val="none"/>
                <w:lang w:val="en-US" w:eastAsia="zh-CN"/>
              </w:rPr>
            </w:pPr>
            <w:r>
              <w:rPr>
                <w:rFonts w:hint="eastAsia" w:ascii="仿宋" w:hAnsi="仿宋" w:eastAsia="仿宋" w:cs="仿宋"/>
                <w:bCs/>
                <w:color w:val="auto"/>
                <w:sz w:val="21"/>
                <w:szCs w:val="21"/>
                <w:highlight w:val="none"/>
                <w:lang w:val="en-US" w:eastAsia="zh-CN"/>
              </w:rPr>
              <w:t>GD1</w:t>
            </w:r>
          </w:p>
        </w:tc>
        <w:tc>
          <w:tcPr>
            <w:tcW w:w="212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仿宋" w:hAnsi="仿宋" w:eastAsia="仿宋" w:cs="仿宋"/>
                <w:bCs/>
                <w:color w:val="auto"/>
                <w:kern w:val="2"/>
                <w:sz w:val="21"/>
                <w:szCs w:val="21"/>
                <w:highlight w:val="none"/>
                <w:lang w:val="en-US" w:eastAsia="zh-CN" w:bidi="ar-SA"/>
              </w:rPr>
            </w:pPr>
            <w:r>
              <w:rPr>
                <w:rFonts w:hint="eastAsia" w:ascii="仿宋" w:hAnsi="仿宋" w:eastAsia="仿宋" w:cs="仿宋"/>
                <w:bCs/>
                <w:color w:val="auto"/>
                <w:sz w:val="21"/>
                <w:szCs w:val="21"/>
                <w:highlight w:val="none"/>
                <w:lang w:val="en-US" w:eastAsia="zh-CN"/>
              </w:rPr>
              <w:t>3585471.383</w:t>
            </w:r>
          </w:p>
        </w:tc>
        <w:tc>
          <w:tcPr>
            <w:tcW w:w="182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仿宋" w:hAnsi="仿宋" w:eastAsia="仿宋" w:cs="仿宋"/>
                <w:bCs/>
                <w:color w:val="auto"/>
                <w:kern w:val="2"/>
                <w:sz w:val="21"/>
                <w:szCs w:val="21"/>
                <w:highlight w:val="none"/>
                <w:lang w:val="en-US" w:eastAsia="zh-CN" w:bidi="ar-SA"/>
              </w:rPr>
            </w:pPr>
            <w:r>
              <w:rPr>
                <w:rFonts w:hint="eastAsia" w:ascii="仿宋" w:hAnsi="仿宋" w:eastAsia="仿宋" w:cs="仿宋"/>
                <w:bCs/>
                <w:color w:val="auto"/>
                <w:sz w:val="21"/>
                <w:szCs w:val="21"/>
                <w:highlight w:val="none"/>
                <w:lang w:val="en-US" w:eastAsia="zh-CN"/>
              </w:rPr>
              <w:t>550991.413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5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仿宋" w:hAnsi="仿宋" w:eastAsia="仿宋" w:cs="仿宋"/>
                <w:bCs/>
                <w:color w:val="auto"/>
                <w:sz w:val="21"/>
                <w:szCs w:val="21"/>
                <w:highlight w:val="none"/>
                <w:lang w:val="en-US" w:eastAsia="zh-CN"/>
              </w:rPr>
            </w:pPr>
            <w:r>
              <w:rPr>
                <w:rFonts w:hint="eastAsia" w:ascii="仿宋" w:hAnsi="仿宋" w:eastAsia="仿宋" w:cs="仿宋"/>
                <w:bCs/>
                <w:color w:val="auto"/>
                <w:sz w:val="21"/>
                <w:szCs w:val="21"/>
                <w:highlight w:val="none"/>
                <w:lang w:val="en-US" w:eastAsia="zh-CN"/>
              </w:rPr>
              <w:t>GD2</w:t>
            </w:r>
          </w:p>
        </w:tc>
        <w:tc>
          <w:tcPr>
            <w:tcW w:w="212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仿宋" w:hAnsi="仿宋" w:eastAsia="仿宋" w:cs="仿宋"/>
                <w:bCs/>
                <w:color w:val="auto"/>
                <w:kern w:val="2"/>
                <w:sz w:val="21"/>
                <w:szCs w:val="21"/>
                <w:highlight w:val="none"/>
                <w:lang w:val="en-US" w:eastAsia="zh-CN" w:bidi="ar-SA"/>
              </w:rPr>
            </w:pPr>
            <w:r>
              <w:rPr>
                <w:rFonts w:hint="eastAsia" w:ascii="仿宋" w:hAnsi="仿宋" w:eastAsia="仿宋" w:cs="仿宋"/>
                <w:bCs/>
                <w:color w:val="auto"/>
                <w:sz w:val="21"/>
                <w:szCs w:val="21"/>
                <w:highlight w:val="none"/>
                <w:lang w:val="en-US" w:eastAsia="zh-CN"/>
              </w:rPr>
              <w:t>3585485.222</w:t>
            </w:r>
          </w:p>
        </w:tc>
        <w:tc>
          <w:tcPr>
            <w:tcW w:w="182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仿宋" w:hAnsi="仿宋" w:eastAsia="仿宋" w:cs="仿宋"/>
                <w:bCs/>
                <w:color w:val="auto"/>
                <w:kern w:val="2"/>
                <w:sz w:val="21"/>
                <w:szCs w:val="21"/>
                <w:highlight w:val="none"/>
                <w:lang w:val="en-US" w:eastAsia="zh-CN" w:bidi="ar-SA"/>
              </w:rPr>
            </w:pPr>
            <w:r>
              <w:rPr>
                <w:rFonts w:hint="eastAsia" w:ascii="仿宋" w:hAnsi="仿宋" w:eastAsia="仿宋" w:cs="仿宋"/>
                <w:bCs/>
                <w:color w:val="auto"/>
                <w:sz w:val="21"/>
                <w:szCs w:val="21"/>
                <w:highlight w:val="none"/>
                <w:lang w:val="en-US" w:eastAsia="zh-CN"/>
              </w:rPr>
              <w:t>551041.528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5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仿宋" w:hAnsi="仿宋" w:eastAsia="仿宋" w:cs="仿宋"/>
                <w:bCs/>
                <w:color w:val="auto"/>
                <w:sz w:val="21"/>
                <w:szCs w:val="21"/>
                <w:highlight w:val="none"/>
                <w:lang w:val="en-US" w:eastAsia="zh-CN"/>
              </w:rPr>
            </w:pPr>
            <w:r>
              <w:rPr>
                <w:rFonts w:hint="eastAsia" w:ascii="仿宋" w:hAnsi="仿宋" w:eastAsia="仿宋" w:cs="仿宋"/>
                <w:bCs/>
                <w:color w:val="auto"/>
                <w:sz w:val="21"/>
                <w:szCs w:val="21"/>
                <w:highlight w:val="none"/>
                <w:lang w:val="en-US" w:eastAsia="zh-CN"/>
              </w:rPr>
              <w:t>GD3</w:t>
            </w:r>
          </w:p>
        </w:tc>
        <w:tc>
          <w:tcPr>
            <w:tcW w:w="212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仿宋" w:hAnsi="仿宋" w:eastAsia="仿宋" w:cs="仿宋"/>
                <w:bCs/>
                <w:color w:val="auto"/>
                <w:kern w:val="2"/>
                <w:sz w:val="21"/>
                <w:szCs w:val="21"/>
                <w:highlight w:val="none"/>
                <w:lang w:val="en-US" w:eastAsia="zh-CN" w:bidi="ar-SA"/>
              </w:rPr>
            </w:pPr>
            <w:r>
              <w:rPr>
                <w:rFonts w:hint="eastAsia" w:ascii="仿宋" w:hAnsi="仿宋" w:eastAsia="仿宋" w:cs="仿宋"/>
                <w:bCs/>
                <w:color w:val="auto"/>
                <w:sz w:val="21"/>
                <w:szCs w:val="21"/>
                <w:highlight w:val="none"/>
                <w:lang w:val="en-US" w:eastAsia="zh-CN"/>
              </w:rPr>
              <w:t>3585492.895</w:t>
            </w:r>
          </w:p>
        </w:tc>
        <w:tc>
          <w:tcPr>
            <w:tcW w:w="182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仿宋" w:hAnsi="仿宋" w:eastAsia="仿宋" w:cs="仿宋"/>
                <w:bCs/>
                <w:color w:val="auto"/>
                <w:kern w:val="2"/>
                <w:sz w:val="21"/>
                <w:szCs w:val="21"/>
                <w:highlight w:val="none"/>
                <w:lang w:val="en-US" w:eastAsia="zh-CN" w:bidi="ar-SA"/>
              </w:rPr>
            </w:pPr>
            <w:r>
              <w:rPr>
                <w:rFonts w:hint="eastAsia" w:ascii="仿宋" w:hAnsi="仿宋" w:eastAsia="仿宋" w:cs="仿宋"/>
                <w:bCs/>
                <w:color w:val="auto"/>
                <w:sz w:val="21"/>
                <w:szCs w:val="21"/>
                <w:highlight w:val="none"/>
                <w:lang w:val="en-US" w:eastAsia="zh-CN"/>
              </w:rPr>
              <w:t>551060.059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5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仿宋" w:hAnsi="仿宋" w:eastAsia="仿宋" w:cs="仿宋"/>
                <w:bCs/>
                <w:color w:val="auto"/>
                <w:sz w:val="21"/>
                <w:szCs w:val="21"/>
                <w:highlight w:val="none"/>
                <w:lang w:val="en-US" w:eastAsia="zh-CN"/>
              </w:rPr>
            </w:pPr>
            <w:r>
              <w:rPr>
                <w:rFonts w:hint="eastAsia" w:ascii="仿宋" w:hAnsi="仿宋" w:eastAsia="仿宋" w:cs="仿宋"/>
                <w:bCs/>
                <w:color w:val="auto"/>
                <w:sz w:val="21"/>
                <w:szCs w:val="21"/>
                <w:highlight w:val="none"/>
                <w:lang w:val="en-US" w:eastAsia="zh-CN"/>
              </w:rPr>
              <w:t>GD4</w:t>
            </w:r>
          </w:p>
        </w:tc>
        <w:tc>
          <w:tcPr>
            <w:tcW w:w="212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仿宋" w:hAnsi="仿宋" w:eastAsia="仿宋" w:cs="仿宋"/>
                <w:bCs/>
                <w:color w:val="auto"/>
                <w:kern w:val="2"/>
                <w:sz w:val="21"/>
                <w:szCs w:val="21"/>
                <w:highlight w:val="none"/>
                <w:lang w:val="en-US" w:eastAsia="zh-CN" w:bidi="ar-SA"/>
              </w:rPr>
            </w:pPr>
            <w:r>
              <w:rPr>
                <w:rFonts w:hint="eastAsia" w:ascii="仿宋" w:hAnsi="仿宋" w:eastAsia="仿宋" w:cs="仿宋"/>
                <w:bCs/>
                <w:color w:val="auto"/>
                <w:sz w:val="21"/>
                <w:szCs w:val="21"/>
                <w:highlight w:val="none"/>
                <w:lang w:val="en-US" w:eastAsia="zh-CN"/>
              </w:rPr>
              <w:t>3585515.784</w:t>
            </w:r>
          </w:p>
        </w:tc>
        <w:tc>
          <w:tcPr>
            <w:tcW w:w="182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仿宋" w:hAnsi="仿宋" w:eastAsia="仿宋" w:cs="仿宋"/>
                <w:bCs/>
                <w:color w:val="auto"/>
                <w:kern w:val="2"/>
                <w:sz w:val="21"/>
                <w:szCs w:val="21"/>
                <w:highlight w:val="none"/>
                <w:lang w:val="en-US" w:eastAsia="zh-CN" w:bidi="ar-SA"/>
              </w:rPr>
            </w:pPr>
            <w:r>
              <w:rPr>
                <w:rFonts w:hint="eastAsia" w:ascii="仿宋" w:hAnsi="仿宋" w:eastAsia="仿宋" w:cs="仿宋"/>
                <w:bCs/>
                <w:color w:val="auto"/>
                <w:sz w:val="21"/>
                <w:szCs w:val="21"/>
                <w:highlight w:val="none"/>
                <w:lang w:val="en-US" w:eastAsia="zh-CN"/>
              </w:rPr>
              <w:t>551129.651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5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仿宋" w:hAnsi="仿宋" w:eastAsia="仿宋" w:cs="仿宋"/>
                <w:bCs/>
                <w:color w:val="auto"/>
                <w:sz w:val="21"/>
                <w:szCs w:val="21"/>
                <w:highlight w:val="none"/>
                <w:lang w:val="en-US" w:eastAsia="zh-CN"/>
              </w:rPr>
            </w:pPr>
            <w:r>
              <w:rPr>
                <w:rFonts w:hint="eastAsia" w:ascii="仿宋" w:hAnsi="仿宋" w:eastAsia="仿宋" w:cs="仿宋"/>
                <w:bCs/>
                <w:color w:val="auto"/>
                <w:sz w:val="21"/>
                <w:szCs w:val="21"/>
                <w:highlight w:val="none"/>
                <w:lang w:val="en-US" w:eastAsia="zh-CN"/>
              </w:rPr>
              <w:t>GD5</w:t>
            </w:r>
          </w:p>
        </w:tc>
        <w:tc>
          <w:tcPr>
            <w:tcW w:w="212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仿宋" w:hAnsi="仿宋" w:eastAsia="仿宋" w:cs="仿宋"/>
                <w:bCs/>
                <w:color w:val="auto"/>
                <w:kern w:val="2"/>
                <w:sz w:val="21"/>
                <w:szCs w:val="21"/>
                <w:highlight w:val="none"/>
                <w:lang w:val="en-US" w:eastAsia="zh-CN" w:bidi="ar-SA"/>
              </w:rPr>
            </w:pPr>
            <w:r>
              <w:rPr>
                <w:rFonts w:hint="eastAsia" w:ascii="仿宋" w:hAnsi="仿宋" w:eastAsia="仿宋" w:cs="仿宋"/>
                <w:bCs/>
                <w:color w:val="auto"/>
                <w:sz w:val="21"/>
                <w:szCs w:val="21"/>
                <w:highlight w:val="none"/>
                <w:lang w:val="en-US" w:eastAsia="zh-CN"/>
              </w:rPr>
              <w:t>3585509.509</w:t>
            </w:r>
          </w:p>
        </w:tc>
        <w:tc>
          <w:tcPr>
            <w:tcW w:w="182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仿宋" w:hAnsi="仿宋" w:eastAsia="仿宋" w:cs="仿宋"/>
                <w:bCs/>
                <w:color w:val="auto"/>
                <w:kern w:val="2"/>
                <w:sz w:val="21"/>
                <w:szCs w:val="21"/>
                <w:highlight w:val="none"/>
                <w:lang w:val="en-US" w:eastAsia="zh-CN" w:bidi="ar-SA"/>
              </w:rPr>
            </w:pPr>
            <w:r>
              <w:rPr>
                <w:rFonts w:hint="eastAsia" w:ascii="仿宋" w:hAnsi="仿宋" w:eastAsia="仿宋" w:cs="仿宋"/>
                <w:bCs/>
                <w:color w:val="auto"/>
                <w:sz w:val="21"/>
                <w:szCs w:val="21"/>
                <w:highlight w:val="none"/>
                <w:lang w:val="en-US" w:eastAsia="zh-CN"/>
              </w:rPr>
              <w:t>551142.241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5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仿宋" w:hAnsi="仿宋" w:eastAsia="仿宋" w:cs="仿宋"/>
                <w:bCs/>
                <w:color w:val="auto"/>
                <w:sz w:val="21"/>
                <w:szCs w:val="21"/>
                <w:highlight w:val="none"/>
                <w:lang w:val="en-US" w:eastAsia="zh-CN"/>
              </w:rPr>
            </w:pPr>
            <w:r>
              <w:rPr>
                <w:rFonts w:hint="eastAsia" w:ascii="仿宋" w:hAnsi="仿宋" w:eastAsia="仿宋" w:cs="仿宋"/>
                <w:bCs/>
                <w:color w:val="auto"/>
                <w:sz w:val="21"/>
                <w:szCs w:val="21"/>
                <w:highlight w:val="none"/>
                <w:lang w:val="en-US" w:eastAsia="zh-CN"/>
              </w:rPr>
              <w:t>GD6</w:t>
            </w:r>
          </w:p>
        </w:tc>
        <w:tc>
          <w:tcPr>
            <w:tcW w:w="212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仿宋" w:hAnsi="仿宋" w:eastAsia="仿宋" w:cs="仿宋"/>
                <w:bCs/>
                <w:color w:val="auto"/>
                <w:kern w:val="2"/>
                <w:sz w:val="21"/>
                <w:szCs w:val="21"/>
                <w:highlight w:val="none"/>
                <w:lang w:val="en-US" w:eastAsia="zh-CN" w:bidi="ar-SA"/>
              </w:rPr>
            </w:pPr>
            <w:r>
              <w:rPr>
                <w:rFonts w:hint="eastAsia" w:ascii="仿宋" w:hAnsi="仿宋" w:eastAsia="仿宋" w:cs="仿宋"/>
                <w:bCs/>
                <w:color w:val="auto"/>
                <w:sz w:val="21"/>
                <w:szCs w:val="21"/>
                <w:highlight w:val="none"/>
                <w:lang w:val="en-US" w:eastAsia="zh-CN"/>
              </w:rPr>
              <w:t>3585401.19</w:t>
            </w:r>
          </w:p>
        </w:tc>
        <w:tc>
          <w:tcPr>
            <w:tcW w:w="182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仿宋" w:hAnsi="仿宋" w:eastAsia="仿宋" w:cs="仿宋"/>
                <w:bCs/>
                <w:color w:val="auto"/>
                <w:kern w:val="2"/>
                <w:sz w:val="21"/>
                <w:szCs w:val="21"/>
                <w:highlight w:val="none"/>
                <w:lang w:val="en-US" w:eastAsia="zh-CN" w:bidi="ar-SA"/>
              </w:rPr>
            </w:pPr>
            <w:r>
              <w:rPr>
                <w:rFonts w:hint="eastAsia" w:ascii="仿宋" w:hAnsi="仿宋" w:eastAsia="仿宋" w:cs="仿宋"/>
                <w:bCs/>
                <w:color w:val="auto"/>
                <w:sz w:val="21"/>
                <w:szCs w:val="21"/>
                <w:highlight w:val="none"/>
                <w:lang w:val="en-US" w:eastAsia="zh-CN"/>
              </w:rPr>
              <w:t>551179.143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5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仿宋" w:hAnsi="仿宋" w:eastAsia="仿宋" w:cs="仿宋"/>
                <w:bCs/>
                <w:color w:val="auto"/>
                <w:sz w:val="21"/>
                <w:szCs w:val="21"/>
                <w:highlight w:val="none"/>
                <w:lang w:val="en-US" w:eastAsia="zh-CN"/>
              </w:rPr>
            </w:pPr>
            <w:r>
              <w:rPr>
                <w:rFonts w:hint="eastAsia" w:ascii="仿宋" w:hAnsi="仿宋" w:eastAsia="仿宋" w:cs="仿宋"/>
                <w:bCs/>
                <w:color w:val="auto"/>
                <w:sz w:val="21"/>
                <w:szCs w:val="21"/>
                <w:highlight w:val="none"/>
                <w:lang w:val="en-US" w:eastAsia="zh-CN"/>
              </w:rPr>
              <w:t>GD7</w:t>
            </w:r>
          </w:p>
        </w:tc>
        <w:tc>
          <w:tcPr>
            <w:tcW w:w="212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仿宋" w:hAnsi="仿宋" w:eastAsia="仿宋" w:cs="仿宋"/>
                <w:bCs/>
                <w:color w:val="auto"/>
                <w:kern w:val="2"/>
                <w:sz w:val="21"/>
                <w:szCs w:val="21"/>
                <w:highlight w:val="none"/>
                <w:lang w:val="en-US" w:eastAsia="zh-CN" w:bidi="ar-SA"/>
              </w:rPr>
            </w:pPr>
            <w:r>
              <w:rPr>
                <w:rFonts w:hint="eastAsia" w:ascii="仿宋" w:hAnsi="仿宋" w:eastAsia="仿宋" w:cs="仿宋"/>
                <w:bCs/>
                <w:color w:val="auto"/>
                <w:sz w:val="21"/>
                <w:szCs w:val="21"/>
                <w:highlight w:val="none"/>
                <w:lang w:val="en-US" w:eastAsia="zh-CN"/>
              </w:rPr>
              <w:t>3585422.679</w:t>
            </w:r>
          </w:p>
        </w:tc>
        <w:tc>
          <w:tcPr>
            <w:tcW w:w="182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仿宋" w:hAnsi="仿宋" w:eastAsia="仿宋" w:cs="仿宋"/>
                <w:bCs/>
                <w:color w:val="auto"/>
                <w:kern w:val="2"/>
                <w:sz w:val="21"/>
                <w:szCs w:val="21"/>
                <w:highlight w:val="none"/>
                <w:lang w:val="en-US" w:eastAsia="zh-CN" w:bidi="ar-SA"/>
              </w:rPr>
            </w:pPr>
            <w:r>
              <w:rPr>
                <w:rFonts w:hint="eastAsia" w:ascii="仿宋" w:hAnsi="仿宋" w:eastAsia="仿宋" w:cs="仿宋"/>
                <w:bCs/>
                <w:color w:val="auto"/>
                <w:sz w:val="21"/>
                <w:szCs w:val="21"/>
                <w:highlight w:val="none"/>
                <w:lang w:val="en-US" w:eastAsia="zh-CN"/>
              </w:rPr>
              <w:t>551188.725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5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仿宋" w:hAnsi="仿宋" w:eastAsia="仿宋" w:cs="仿宋"/>
                <w:bCs/>
                <w:color w:val="auto"/>
                <w:sz w:val="21"/>
                <w:szCs w:val="21"/>
                <w:highlight w:val="none"/>
                <w:lang w:val="en-US" w:eastAsia="zh-CN"/>
              </w:rPr>
            </w:pPr>
            <w:r>
              <w:rPr>
                <w:rFonts w:hint="eastAsia" w:ascii="仿宋" w:hAnsi="仿宋" w:eastAsia="仿宋" w:cs="仿宋"/>
                <w:bCs/>
                <w:color w:val="auto"/>
                <w:sz w:val="21"/>
                <w:szCs w:val="21"/>
                <w:highlight w:val="none"/>
                <w:lang w:val="en-US" w:eastAsia="zh-CN"/>
              </w:rPr>
              <w:t>GD8</w:t>
            </w:r>
          </w:p>
        </w:tc>
        <w:tc>
          <w:tcPr>
            <w:tcW w:w="212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仿宋" w:hAnsi="仿宋" w:eastAsia="仿宋" w:cs="仿宋"/>
                <w:bCs/>
                <w:color w:val="auto"/>
                <w:kern w:val="2"/>
                <w:sz w:val="21"/>
                <w:szCs w:val="21"/>
                <w:highlight w:val="none"/>
                <w:lang w:val="en-US" w:eastAsia="zh-CN" w:bidi="ar-SA"/>
              </w:rPr>
            </w:pPr>
            <w:r>
              <w:rPr>
                <w:rFonts w:hint="eastAsia" w:ascii="仿宋" w:hAnsi="仿宋" w:eastAsia="仿宋" w:cs="仿宋"/>
                <w:bCs/>
                <w:color w:val="auto"/>
                <w:sz w:val="21"/>
                <w:szCs w:val="21"/>
                <w:highlight w:val="none"/>
                <w:lang w:val="en-US" w:eastAsia="zh-CN"/>
              </w:rPr>
              <w:t>3585487.805</w:t>
            </w:r>
          </w:p>
        </w:tc>
        <w:tc>
          <w:tcPr>
            <w:tcW w:w="182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仿宋" w:hAnsi="仿宋" w:eastAsia="仿宋" w:cs="仿宋"/>
                <w:bCs/>
                <w:color w:val="auto"/>
                <w:kern w:val="2"/>
                <w:sz w:val="21"/>
                <w:szCs w:val="21"/>
                <w:highlight w:val="none"/>
                <w:lang w:val="en-US" w:eastAsia="zh-CN" w:bidi="ar-SA"/>
              </w:rPr>
            </w:pPr>
            <w:r>
              <w:rPr>
                <w:rFonts w:hint="eastAsia" w:ascii="仿宋" w:hAnsi="仿宋" w:eastAsia="仿宋" w:cs="仿宋"/>
                <w:bCs/>
                <w:color w:val="auto"/>
                <w:sz w:val="21"/>
                <w:szCs w:val="21"/>
                <w:highlight w:val="none"/>
                <w:lang w:val="en-US" w:eastAsia="zh-CN"/>
              </w:rPr>
              <w:t>551382.644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5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仿宋" w:hAnsi="仿宋" w:eastAsia="仿宋" w:cs="仿宋"/>
                <w:bCs/>
                <w:color w:val="auto"/>
                <w:sz w:val="21"/>
                <w:szCs w:val="21"/>
                <w:highlight w:val="none"/>
                <w:lang w:val="en-US" w:eastAsia="zh-CN"/>
              </w:rPr>
            </w:pPr>
            <w:r>
              <w:rPr>
                <w:rFonts w:hint="eastAsia" w:ascii="仿宋" w:hAnsi="仿宋" w:eastAsia="仿宋" w:cs="仿宋"/>
                <w:bCs/>
                <w:color w:val="auto"/>
                <w:sz w:val="21"/>
                <w:szCs w:val="21"/>
                <w:highlight w:val="none"/>
                <w:lang w:val="en-US" w:eastAsia="zh-CN"/>
              </w:rPr>
              <w:t>GD9</w:t>
            </w:r>
          </w:p>
        </w:tc>
        <w:tc>
          <w:tcPr>
            <w:tcW w:w="212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仿宋" w:hAnsi="仿宋" w:eastAsia="仿宋" w:cs="仿宋"/>
                <w:bCs/>
                <w:color w:val="auto"/>
                <w:kern w:val="2"/>
                <w:sz w:val="21"/>
                <w:szCs w:val="21"/>
                <w:highlight w:val="none"/>
                <w:lang w:val="en-US" w:eastAsia="zh-CN" w:bidi="ar-SA"/>
              </w:rPr>
            </w:pPr>
            <w:r>
              <w:rPr>
                <w:rFonts w:hint="eastAsia" w:ascii="仿宋" w:hAnsi="仿宋" w:eastAsia="仿宋" w:cs="仿宋"/>
                <w:bCs/>
                <w:color w:val="auto"/>
                <w:sz w:val="21"/>
                <w:szCs w:val="21"/>
                <w:highlight w:val="none"/>
                <w:lang w:val="en-US" w:eastAsia="zh-CN"/>
              </w:rPr>
              <w:t>3585429.591</w:t>
            </w:r>
          </w:p>
        </w:tc>
        <w:tc>
          <w:tcPr>
            <w:tcW w:w="182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仿宋" w:hAnsi="仿宋" w:eastAsia="仿宋" w:cs="仿宋"/>
                <w:bCs/>
                <w:color w:val="auto"/>
                <w:kern w:val="2"/>
                <w:sz w:val="21"/>
                <w:szCs w:val="21"/>
                <w:highlight w:val="none"/>
                <w:lang w:val="en-US" w:eastAsia="zh-CN" w:bidi="ar-SA"/>
              </w:rPr>
            </w:pPr>
            <w:r>
              <w:rPr>
                <w:rFonts w:hint="eastAsia" w:ascii="仿宋" w:hAnsi="仿宋" w:eastAsia="仿宋" w:cs="仿宋"/>
                <w:bCs/>
                <w:color w:val="auto"/>
                <w:sz w:val="21"/>
                <w:szCs w:val="21"/>
                <w:highlight w:val="none"/>
                <w:lang w:val="en-US" w:eastAsia="zh-CN"/>
              </w:rPr>
              <w:t>551406.212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5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仿宋" w:hAnsi="仿宋" w:eastAsia="仿宋" w:cs="仿宋"/>
                <w:bCs/>
                <w:color w:val="auto"/>
                <w:sz w:val="21"/>
                <w:szCs w:val="21"/>
                <w:highlight w:val="none"/>
                <w:lang w:val="en-US" w:eastAsia="zh-CN"/>
              </w:rPr>
            </w:pPr>
            <w:r>
              <w:rPr>
                <w:rFonts w:hint="eastAsia" w:ascii="仿宋" w:hAnsi="仿宋" w:eastAsia="仿宋" w:cs="仿宋"/>
                <w:bCs/>
                <w:color w:val="auto"/>
                <w:sz w:val="21"/>
                <w:szCs w:val="21"/>
                <w:highlight w:val="none"/>
                <w:lang w:val="en-US" w:eastAsia="zh-CN"/>
              </w:rPr>
              <w:t>GD10</w:t>
            </w:r>
          </w:p>
        </w:tc>
        <w:tc>
          <w:tcPr>
            <w:tcW w:w="212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仿宋" w:hAnsi="仿宋" w:eastAsia="仿宋" w:cs="仿宋"/>
                <w:bCs/>
                <w:color w:val="auto"/>
                <w:kern w:val="2"/>
                <w:sz w:val="21"/>
                <w:szCs w:val="21"/>
                <w:highlight w:val="none"/>
                <w:lang w:val="en-US" w:eastAsia="zh-CN" w:bidi="ar-SA"/>
              </w:rPr>
            </w:pPr>
            <w:r>
              <w:rPr>
                <w:rFonts w:hint="eastAsia" w:ascii="仿宋" w:hAnsi="仿宋" w:eastAsia="仿宋" w:cs="仿宋"/>
                <w:bCs/>
                <w:color w:val="auto"/>
                <w:sz w:val="21"/>
                <w:szCs w:val="21"/>
                <w:highlight w:val="none"/>
                <w:lang w:val="en-US" w:eastAsia="zh-CN"/>
              </w:rPr>
              <w:t>3585385.643</w:t>
            </w:r>
          </w:p>
        </w:tc>
        <w:tc>
          <w:tcPr>
            <w:tcW w:w="182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仿宋" w:hAnsi="仿宋" w:eastAsia="仿宋" w:cs="仿宋"/>
                <w:bCs/>
                <w:color w:val="auto"/>
                <w:kern w:val="2"/>
                <w:sz w:val="21"/>
                <w:szCs w:val="21"/>
                <w:highlight w:val="none"/>
                <w:lang w:val="en-US" w:eastAsia="zh-CN" w:bidi="ar-SA"/>
              </w:rPr>
            </w:pPr>
            <w:r>
              <w:rPr>
                <w:rFonts w:hint="eastAsia" w:ascii="仿宋" w:hAnsi="仿宋" w:eastAsia="仿宋" w:cs="仿宋"/>
                <w:bCs/>
                <w:color w:val="auto"/>
                <w:sz w:val="21"/>
                <w:szCs w:val="21"/>
                <w:highlight w:val="none"/>
                <w:lang w:val="en-US" w:eastAsia="zh-CN"/>
              </w:rPr>
              <w:t>551425.603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5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仿宋" w:hAnsi="仿宋" w:eastAsia="仿宋" w:cs="仿宋"/>
                <w:bCs/>
                <w:color w:val="auto"/>
                <w:sz w:val="21"/>
                <w:szCs w:val="21"/>
                <w:highlight w:val="none"/>
                <w:lang w:val="en-US" w:eastAsia="zh-CN"/>
              </w:rPr>
            </w:pPr>
            <w:r>
              <w:rPr>
                <w:rFonts w:hint="eastAsia" w:ascii="仿宋" w:hAnsi="仿宋" w:eastAsia="仿宋" w:cs="仿宋"/>
                <w:bCs/>
                <w:color w:val="auto"/>
                <w:sz w:val="21"/>
                <w:szCs w:val="21"/>
                <w:highlight w:val="none"/>
                <w:lang w:val="en-US" w:eastAsia="zh-CN"/>
              </w:rPr>
              <w:t>GD11</w:t>
            </w:r>
          </w:p>
        </w:tc>
        <w:tc>
          <w:tcPr>
            <w:tcW w:w="212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仿宋" w:hAnsi="仿宋" w:eastAsia="仿宋" w:cs="仿宋"/>
                <w:bCs/>
                <w:color w:val="auto"/>
                <w:kern w:val="2"/>
                <w:sz w:val="21"/>
                <w:szCs w:val="21"/>
                <w:highlight w:val="none"/>
                <w:lang w:val="en-US" w:eastAsia="zh-CN" w:bidi="ar-SA"/>
              </w:rPr>
            </w:pPr>
            <w:r>
              <w:rPr>
                <w:rFonts w:hint="eastAsia" w:ascii="仿宋" w:hAnsi="仿宋" w:eastAsia="仿宋" w:cs="仿宋"/>
                <w:bCs/>
                <w:color w:val="auto"/>
                <w:sz w:val="21"/>
                <w:szCs w:val="21"/>
                <w:highlight w:val="none"/>
                <w:lang w:val="en-US" w:eastAsia="zh-CN"/>
              </w:rPr>
              <w:t>3585374.105</w:t>
            </w:r>
          </w:p>
        </w:tc>
        <w:tc>
          <w:tcPr>
            <w:tcW w:w="182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仿宋" w:hAnsi="仿宋" w:eastAsia="仿宋" w:cs="仿宋"/>
                <w:bCs/>
                <w:color w:val="auto"/>
                <w:kern w:val="2"/>
                <w:sz w:val="21"/>
                <w:szCs w:val="21"/>
                <w:highlight w:val="none"/>
                <w:lang w:val="en-US" w:eastAsia="zh-CN" w:bidi="ar-SA"/>
              </w:rPr>
            </w:pPr>
            <w:r>
              <w:rPr>
                <w:rFonts w:hint="eastAsia" w:ascii="仿宋" w:hAnsi="仿宋" w:eastAsia="仿宋" w:cs="仿宋"/>
                <w:bCs/>
                <w:color w:val="auto"/>
                <w:sz w:val="21"/>
                <w:szCs w:val="21"/>
                <w:highlight w:val="none"/>
                <w:lang w:val="en-US" w:eastAsia="zh-CN"/>
              </w:rPr>
              <w:t>551420.554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5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仿宋" w:hAnsi="仿宋" w:eastAsia="仿宋" w:cs="仿宋"/>
                <w:bCs/>
                <w:color w:val="auto"/>
                <w:sz w:val="21"/>
                <w:szCs w:val="21"/>
                <w:highlight w:val="none"/>
                <w:lang w:val="en-US" w:eastAsia="zh-CN"/>
              </w:rPr>
            </w:pPr>
            <w:r>
              <w:rPr>
                <w:rFonts w:hint="eastAsia" w:ascii="仿宋" w:hAnsi="仿宋" w:eastAsia="仿宋" w:cs="仿宋"/>
                <w:bCs/>
                <w:color w:val="auto"/>
                <w:sz w:val="21"/>
                <w:szCs w:val="21"/>
                <w:highlight w:val="none"/>
                <w:lang w:val="en-US" w:eastAsia="zh-CN"/>
              </w:rPr>
              <w:t>GD12</w:t>
            </w:r>
          </w:p>
        </w:tc>
        <w:tc>
          <w:tcPr>
            <w:tcW w:w="212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仿宋" w:hAnsi="仿宋" w:eastAsia="仿宋" w:cs="仿宋"/>
                <w:bCs/>
                <w:color w:val="auto"/>
                <w:kern w:val="2"/>
                <w:sz w:val="21"/>
                <w:szCs w:val="21"/>
                <w:highlight w:val="none"/>
                <w:lang w:val="en-US" w:eastAsia="zh-CN" w:bidi="ar-SA"/>
              </w:rPr>
            </w:pPr>
            <w:r>
              <w:rPr>
                <w:rFonts w:hint="eastAsia" w:ascii="仿宋" w:hAnsi="仿宋" w:eastAsia="仿宋" w:cs="仿宋"/>
                <w:bCs/>
                <w:color w:val="auto"/>
                <w:sz w:val="21"/>
                <w:szCs w:val="21"/>
                <w:highlight w:val="none"/>
                <w:lang w:val="en-US" w:eastAsia="zh-CN"/>
              </w:rPr>
              <w:t>3585339.863</w:t>
            </w:r>
          </w:p>
        </w:tc>
        <w:tc>
          <w:tcPr>
            <w:tcW w:w="182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仿宋" w:hAnsi="仿宋" w:eastAsia="仿宋" w:cs="仿宋"/>
                <w:bCs/>
                <w:color w:val="auto"/>
                <w:kern w:val="2"/>
                <w:sz w:val="21"/>
                <w:szCs w:val="21"/>
                <w:highlight w:val="none"/>
                <w:lang w:val="en-US" w:eastAsia="zh-CN" w:bidi="ar-SA"/>
              </w:rPr>
            </w:pPr>
            <w:r>
              <w:rPr>
                <w:rFonts w:hint="eastAsia" w:ascii="仿宋" w:hAnsi="仿宋" w:eastAsia="仿宋" w:cs="仿宋"/>
                <w:bCs/>
                <w:color w:val="auto"/>
                <w:sz w:val="21"/>
                <w:szCs w:val="21"/>
                <w:highlight w:val="none"/>
                <w:lang w:val="en-US" w:eastAsia="zh-CN"/>
              </w:rPr>
              <w:t>551320.689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5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仿宋" w:hAnsi="仿宋" w:eastAsia="仿宋" w:cs="仿宋"/>
                <w:bCs/>
                <w:color w:val="auto"/>
                <w:sz w:val="21"/>
                <w:szCs w:val="21"/>
                <w:highlight w:val="none"/>
                <w:lang w:val="en-US" w:eastAsia="zh-CN"/>
              </w:rPr>
            </w:pPr>
            <w:r>
              <w:rPr>
                <w:rFonts w:hint="eastAsia" w:ascii="仿宋" w:hAnsi="仿宋" w:eastAsia="仿宋" w:cs="仿宋"/>
                <w:bCs/>
                <w:color w:val="auto"/>
                <w:sz w:val="21"/>
                <w:szCs w:val="21"/>
                <w:highlight w:val="none"/>
                <w:lang w:val="en-US" w:eastAsia="zh-CN"/>
              </w:rPr>
              <w:t>GD13</w:t>
            </w:r>
          </w:p>
        </w:tc>
        <w:tc>
          <w:tcPr>
            <w:tcW w:w="212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仿宋" w:hAnsi="仿宋" w:eastAsia="仿宋" w:cs="仿宋"/>
                <w:bCs/>
                <w:color w:val="auto"/>
                <w:kern w:val="2"/>
                <w:sz w:val="21"/>
                <w:szCs w:val="21"/>
                <w:highlight w:val="none"/>
                <w:lang w:val="en-US" w:eastAsia="zh-CN" w:bidi="ar-SA"/>
              </w:rPr>
            </w:pPr>
            <w:r>
              <w:rPr>
                <w:rFonts w:hint="eastAsia" w:ascii="仿宋" w:hAnsi="仿宋" w:eastAsia="仿宋" w:cs="仿宋"/>
                <w:bCs/>
                <w:color w:val="auto"/>
                <w:sz w:val="21"/>
                <w:szCs w:val="21"/>
                <w:highlight w:val="none"/>
                <w:lang w:val="en-US" w:eastAsia="zh-CN"/>
              </w:rPr>
              <w:t>3585323.652</w:t>
            </w:r>
          </w:p>
        </w:tc>
        <w:tc>
          <w:tcPr>
            <w:tcW w:w="182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仿宋" w:hAnsi="仿宋" w:eastAsia="仿宋" w:cs="仿宋"/>
                <w:bCs/>
                <w:color w:val="auto"/>
                <w:kern w:val="2"/>
                <w:sz w:val="21"/>
                <w:szCs w:val="21"/>
                <w:highlight w:val="none"/>
                <w:lang w:val="en-US" w:eastAsia="zh-CN" w:bidi="ar-SA"/>
              </w:rPr>
            </w:pPr>
            <w:r>
              <w:rPr>
                <w:rFonts w:hint="eastAsia" w:ascii="仿宋" w:hAnsi="仿宋" w:eastAsia="仿宋" w:cs="仿宋"/>
                <w:bCs/>
                <w:color w:val="auto"/>
                <w:sz w:val="21"/>
                <w:szCs w:val="21"/>
                <w:highlight w:val="none"/>
                <w:lang w:val="en-US" w:eastAsia="zh-CN"/>
              </w:rPr>
              <w:t>551264.177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仿宋" w:hAnsi="仿宋" w:eastAsia="仿宋" w:cs="仿宋"/>
                <w:bCs/>
                <w:color w:val="auto"/>
                <w:kern w:val="2"/>
                <w:sz w:val="21"/>
                <w:szCs w:val="21"/>
                <w:highlight w:val="none"/>
                <w:lang w:val="en-US" w:eastAsia="zh-CN" w:bidi="ar-SA"/>
              </w:rPr>
            </w:pPr>
            <w:r>
              <w:rPr>
                <w:rFonts w:hint="eastAsia" w:ascii="仿宋" w:hAnsi="仿宋" w:eastAsia="仿宋" w:cs="仿宋"/>
                <w:bCs/>
                <w:color w:val="auto"/>
                <w:sz w:val="21"/>
                <w:szCs w:val="21"/>
                <w:highlight w:val="none"/>
                <w:lang w:val="en-US" w:eastAsia="zh-CN"/>
              </w:rPr>
              <w:t>GD14</w:t>
            </w:r>
          </w:p>
        </w:tc>
        <w:tc>
          <w:tcPr>
            <w:tcW w:w="0" w:type="auto"/>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仿宋" w:hAnsi="仿宋" w:eastAsia="仿宋" w:cs="仿宋"/>
                <w:bCs/>
                <w:color w:val="auto"/>
                <w:kern w:val="2"/>
                <w:sz w:val="21"/>
                <w:szCs w:val="21"/>
                <w:highlight w:val="none"/>
                <w:lang w:val="en-US" w:eastAsia="zh-CN" w:bidi="ar-SA"/>
              </w:rPr>
            </w:pPr>
            <w:r>
              <w:rPr>
                <w:rFonts w:hint="eastAsia" w:ascii="仿宋" w:hAnsi="仿宋" w:eastAsia="仿宋" w:cs="仿宋"/>
                <w:bCs/>
                <w:color w:val="auto"/>
                <w:sz w:val="21"/>
                <w:szCs w:val="21"/>
                <w:highlight w:val="none"/>
                <w:lang w:val="en-US" w:eastAsia="zh-CN"/>
              </w:rPr>
              <w:t>3585312.005</w:t>
            </w:r>
          </w:p>
        </w:tc>
        <w:tc>
          <w:tcPr>
            <w:tcW w:w="0" w:type="auto"/>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仿宋" w:hAnsi="仿宋" w:eastAsia="仿宋" w:cs="仿宋"/>
                <w:bCs/>
                <w:color w:val="auto"/>
                <w:kern w:val="2"/>
                <w:sz w:val="21"/>
                <w:szCs w:val="21"/>
                <w:highlight w:val="none"/>
                <w:lang w:val="en-US" w:eastAsia="zh-CN" w:bidi="ar-SA"/>
              </w:rPr>
            </w:pPr>
            <w:r>
              <w:rPr>
                <w:rFonts w:hint="eastAsia" w:ascii="仿宋" w:hAnsi="仿宋" w:eastAsia="仿宋" w:cs="仿宋"/>
                <w:bCs/>
                <w:color w:val="auto"/>
                <w:sz w:val="21"/>
                <w:szCs w:val="21"/>
                <w:highlight w:val="none"/>
                <w:lang w:val="en-US" w:eastAsia="zh-CN"/>
              </w:rPr>
              <w:t>551211.833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仿宋" w:hAnsi="仿宋" w:eastAsia="仿宋" w:cs="仿宋"/>
                <w:bCs/>
                <w:color w:val="auto"/>
                <w:kern w:val="2"/>
                <w:sz w:val="21"/>
                <w:szCs w:val="21"/>
                <w:highlight w:val="none"/>
                <w:lang w:val="en-US" w:eastAsia="zh-CN" w:bidi="ar-SA"/>
              </w:rPr>
            </w:pPr>
            <w:r>
              <w:rPr>
                <w:rFonts w:hint="eastAsia" w:ascii="仿宋" w:hAnsi="仿宋" w:eastAsia="仿宋" w:cs="仿宋"/>
                <w:bCs/>
                <w:color w:val="auto"/>
                <w:sz w:val="21"/>
                <w:szCs w:val="21"/>
                <w:highlight w:val="none"/>
                <w:lang w:val="en-US" w:eastAsia="zh-CN"/>
              </w:rPr>
              <w:t>GD15</w:t>
            </w:r>
          </w:p>
        </w:tc>
        <w:tc>
          <w:tcPr>
            <w:tcW w:w="0" w:type="auto"/>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仿宋" w:hAnsi="仿宋" w:eastAsia="仿宋" w:cs="仿宋"/>
                <w:bCs/>
                <w:color w:val="auto"/>
                <w:kern w:val="2"/>
                <w:sz w:val="21"/>
                <w:szCs w:val="21"/>
                <w:highlight w:val="none"/>
                <w:lang w:val="en-US" w:eastAsia="zh-CN" w:bidi="ar-SA"/>
              </w:rPr>
            </w:pPr>
            <w:r>
              <w:rPr>
                <w:rFonts w:hint="eastAsia" w:ascii="仿宋" w:hAnsi="仿宋" w:eastAsia="仿宋" w:cs="仿宋"/>
                <w:bCs/>
                <w:color w:val="auto"/>
                <w:sz w:val="21"/>
                <w:szCs w:val="21"/>
                <w:highlight w:val="none"/>
                <w:lang w:val="en-US" w:eastAsia="zh-CN"/>
              </w:rPr>
              <w:t>3585307.941</w:t>
            </w:r>
          </w:p>
        </w:tc>
        <w:tc>
          <w:tcPr>
            <w:tcW w:w="0" w:type="auto"/>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仿宋" w:hAnsi="仿宋" w:eastAsia="仿宋" w:cs="仿宋"/>
                <w:bCs/>
                <w:color w:val="auto"/>
                <w:kern w:val="2"/>
                <w:sz w:val="21"/>
                <w:szCs w:val="21"/>
                <w:highlight w:val="none"/>
                <w:lang w:val="en-US" w:eastAsia="zh-CN" w:bidi="ar-SA"/>
              </w:rPr>
            </w:pPr>
            <w:r>
              <w:rPr>
                <w:rFonts w:hint="eastAsia" w:ascii="仿宋" w:hAnsi="仿宋" w:eastAsia="仿宋" w:cs="仿宋"/>
                <w:bCs/>
                <w:color w:val="auto"/>
                <w:sz w:val="21"/>
                <w:szCs w:val="21"/>
                <w:highlight w:val="none"/>
                <w:lang w:val="en-US" w:eastAsia="zh-CN"/>
              </w:rPr>
              <w:t>551196.585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仿宋" w:hAnsi="仿宋" w:eastAsia="仿宋" w:cs="仿宋"/>
                <w:bCs/>
                <w:color w:val="auto"/>
                <w:kern w:val="2"/>
                <w:sz w:val="21"/>
                <w:szCs w:val="21"/>
                <w:highlight w:val="none"/>
                <w:lang w:val="en-US" w:eastAsia="zh-CN" w:bidi="ar-SA"/>
              </w:rPr>
            </w:pPr>
            <w:r>
              <w:rPr>
                <w:rFonts w:hint="eastAsia" w:ascii="仿宋" w:hAnsi="仿宋" w:eastAsia="仿宋" w:cs="仿宋"/>
                <w:bCs/>
                <w:color w:val="auto"/>
                <w:sz w:val="21"/>
                <w:szCs w:val="21"/>
                <w:highlight w:val="none"/>
                <w:lang w:val="en-US" w:eastAsia="zh-CN"/>
              </w:rPr>
              <w:t>GD16</w:t>
            </w:r>
          </w:p>
        </w:tc>
        <w:tc>
          <w:tcPr>
            <w:tcW w:w="0" w:type="auto"/>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仿宋" w:hAnsi="仿宋" w:eastAsia="仿宋" w:cs="仿宋"/>
                <w:bCs/>
                <w:color w:val="auto"/>
                <w:kern w:val="2"/>
                <w:sz w:val="21"/>
                <w:szCs w:val="21"/>
                <w:highlight w:val="none"/>
                <w:lang w:val="en-US" w:eastAsia="zh-CN" w:bidi="ar-SA"/>
              </w:rPr>
            </w:pPr>
            <w:r>
              <w:rPr>
                <w:rFonts w:hint="eastAsia" w:ascii="仿宋" w:hAnsi="仿宋" w:eastAsia="仿宋" w:cs="仿宋"/>
                <w:bCs/>
                <w:color w:val="auto"/>
                <w:sz w:val="21"/>
                <w:szCs w:val="21"/>
                <w:highlight w:val="none"/>
                <w:lang w:val="en-US" w:eastAsia="zh-CN"/>
              </w:rPr>
              <w:t>3585269.681</w:t>
            </w:r>
          </w:p>
        </w:tc>
        <w:tc>
          <w:tcPr>
            <w:tcW w:w="0" w:type="auto"/>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仿宋" w:hAnsi="仿宋" w:eastAsia="仿宋" w:cs="仿宋"/>
                <w:bCs/>
                <w:color w:val="auto"/>
                <w:kern w:val="2"/>
                <w:sz w:val="21"/>
                <w:szCs w:val="21"/>
                <w:highlight w:val="none"/>
                <w:lang w:val="en-US" w:eastAsia="zh-CN" w:bidi="ar-SA"/>
              </w:rPr>
            </w:pPr>
            <w:r>
              <w:rPr>
                <w:rFonts w:hint="eastAsia" w:ascii="仿宋" w:hAnsi="仿宋" w:eastAsia="仿宋" w:cs="仿宋"/>
                <w:bCs/>
                <w:color w:val="auto"/>
                <w:sz w:val="21"/>
                <w:szCs w:val="21"/>
                <w:highlight w:val="none"/>
                <w:lang w:val="en-US" w:eastAsia="zh-CN"/>
              </w:rPr>
              <w:t>551031.986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仿宋" w:hAnsi="仿宋" w:eastAsia="仿宋" w:cs="仿宋"/>
                <w:bCs/>
                <w:color w:val="auto"/>
                <w:kern w:val="2"/>
                <w:sz w:val="21"/>
                <w:szCs w:val="21"/>
                <w:highlight w:val="none"/>
                <w:lang w:val="en-US" w:eastAsia="zh-CN" w:bidi="ar-SA"/>
              </w:rPr>
            </w:pPr>
            <w:r>
              <w:rPr>
                <w:rFonts w:hint="eastAsia" w:ascii="仿宋" w:hAnsi="仿宋" w:eastAsia="仿宋" w:cs="仿宋"/>
                <w:bCs/>
                <w:color w:val="auto"/>
                <w:sz w:val="21"/>
                <w:szCs w:val="21"/>
                <w:highlight w:val="none"/>
                <w:lang w:val="en-US" w:eastAsia="zh-CN"/>
              </w:rPr>
              <w:t>GD17</w:t>
            </w:r>
          </w:p>
        </w:tc>
        <w:tc>
          <w:tcPr>
            <w:tcW w:w="0" w:type="auto"/>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仿宋" w:hAnsi="仿宋" w:eastAsia="仿宋" w:cs="仿宋"/>
                <w:bCs/>
                <w:color w:val="auto"/>
                <w:kern w:val="2"/>
                <w:sz w:val="21"/>
                <w:szCs w:val="21"/>
                <w:highlight w:val="none"/>
                <w:lang w:val="en-US" w:eastAsia="zh-CN" w:bidi="ar-SA"/>
              </w:rPr>
            </w:pPr>
            <w:r>
              <w:rPr>
                <w:rFonts w:hint="eastAsia" w:ascii="仿宋" w:hAnsi="仿宋" w:eastAsia="仿宋" w:cs="仿宋"/>
                <w:bCs/>
                <w:color w:val="auto"/>
                <w:sz w:val="21"/>
                <w:szCs w:val="21"/>
                <w:highlight w:val="none"/>
                <w:lang w:val="en-US" w:eastAsia="zh-CN"/>
              </w:rPr>
              <w:t>3585469.19</w:t>
            </w:r>
          </w:p>
        </w:tc>
        <w:tc>
          <w:tcPr>
            <w:tcW w:w="0" w:type="auto"/>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仿宋" w:hAnsi="仿宋" w:eastAsia="仿宋" w:cs="仿宋"/>
                <w:bCs/>
                <w:color w:val="auto"/>
                <w:kern w:val="2"/>
                <w:sz w:val="21"/>
                <w:szCs w:val="21"/>
                <w:highlight w:val="none"/>
                <w:lang w:val="en-US" w:eastAsia="zh-CN" w:bidi="ar-SA"/>
              </w:rPr>
            </w:pPr>
            <w:r>
              <w:rPr>
                <w:rFonts w:hint="eastAsia" w:ascii="仿宋" w:hAnsi="仿宋" w:eastAsia="仿宋" w:cs="仿宋"/>
                <w:bCs/>
                <w:color w:val="auto"/>
                <w:sz w:val="21"/>
                <w:szCs w:val="21"/>
                <w:highlight w:val="none"/>
                <w:lang w:val="en-US" w:eastAsia="zh-CN"/>
              </w:rPr>
              <w:t>550990.016</w:t>
            </w:r>
          </w:p>
        </w:tc>
      </w:tr>
    </w:tbl>
    <w:p>
      <w:pPr>
        <w:ind w:left="0" w:leftChars="0" w:firstLine="0" w:firstLineChars="0"/>
        <w:rPr>
          <w:rFonts w:hint="eastAsia" w:ascii="仿宋" w:hAnsi="仿宋" w:eastAsia="仿宋" w:cs="仿宋"/>
          <w:color w:val="auto"/>
          <w:lang w:val="en-US" w:eastAsia="zh-CN"/>
        </w:rPr>
      </w:pPr>
    </w:p>
    <w:p>
      <w:pPr>
        <w:ind w:left="0" w:leftChars="0" w:firstLine="0" w:firstLineChars="0"/>
        <w:rPr>
          <w:rFonts w:hint="eastAsia" w:ascii="仿宋" w:hAnsi="仿宋" w:eastAsia="仿宋" w:cs="仿宋"/>
          <w:color w:val="auto"/>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pStyle w:val="5"/>
        <w:keepNext w:val="0"/>
        <w:keepLines w:val="0"/>
        <w:pageBreakBefore w:val="0"/>
        <w:kinsoku/>
        <w:wordWrap/>
        <w:overflowPunct/>
        <w:topLinePunct w:val="0"/>
        <w:autoSpaceDE/>
        <w:autoSpaceDN/>
        <w:bidi w:val="0"/>
        <w:adjustRightInd/>
        <w:snapToGrid/>
        <w:spacing w:after="0" w:afterLines="0"/>
        <w:ind w:left="0" w:leftChars="0" w:firstLine="0" w:firstLineChars="0"/>
        <w:textAlignment w:val="auto"/>
        <w:outlineLvl w:val="1"/>
        <w:rPr>
          <w:rFonts w:hint="eastAsia" w:ascii="仿宋" w:hAnsi="仿宋" w:eastAsia="仿宋" w:cs="仿宋"/>
          <w:b/>
          <w:bCs/>
          <w:color w:val="auto"/>
          <w:sz w:val="28"/>
          <w:szCs w:val="21"/>
          <w:lang w:val="en-US" w:eastAsia="zh-CN"/>
        </w:rPr>
      </w:pPr>
      <w:bookmarkStart w:id="54" w:name="_Toc18176"/>
      <w:bookmarkStart w:id="55" w:name="_Toc1373"/>
      <w:bookmarkStart w:id="56" w:name="_Toc26213"/>
      <w:bookmarkStart w:id="57" w:name="_Toc27635"/>
      <w:r>
        <w:rPr>
          <w:rFonts w:hint="eastAsia" w:ascii="仿宋" w:hAnsi="仿宋" w:eastAsia="仿宋" w:cs="仿宋"/>
          <w:b/>
          <w:bCs/>
          <w:color w:val="auto"/>
          <w:sz w:val="28"/>
          <w:szCs w:val="21"/>
          <w:lang w:val="en-US" w:eastAsia="zh-CN"/>
        </w:rPr>
        <w:t>2.3  调查依据</w:t>
      </w:r>
      <w:bookmarkEnd w:id="49"/>
      <w:bookmarkEnd w:id="50"/>
      <w:bookmarkEnd w:id="51"/>
      <w:bookmarkEnd w:id="52"/>
      <w:bookmarkEnd w:id="53"/>
      <w:bookmarkEnd w:id="54"/>
      <w:bookmarkEnd w:id="55"/>
      <w:bookmarkEnd w:id="56"/>
      <w:bookmarkEnd w:id="57"/>
    </w:p>
    <w:p>
      <w:pPr>
        <w:pStyle w:val="5"/>
        <w:keepNext w:val="0"/>
        <w:keepLines w:val="0"/>
        <w:pageBreakBefore w:val="0"/>
        <w:kinsoku/>
        <w:wordWrap/>
        <w:overflowPunct/>
        <w:topLinePunct w:val="0"/>
        <w:autoSpaceDE/>
        <w:autoSpaceDN/>
        <w:bidi w:val="0"/>
        <w:adjustRightInd/>
        <w:snapToGrid/>
        <w:spacing w:after="0" w:afterLines="0" w:line="360" w:lineRule="auto"/>
        <w:ind w:left="0" w:leftChars="0" w:firstLine="0" w:firstLineChars="0"/>
        <w:textAlignment w:val="auto"/>
        <w:outlineLvl w:val="2"/>
        <w:rPr>
          <w:rFonts w:hint="eastAsia" w:ascii="仿宋" w:hAnsi="仿宋" w:eastAsia="仿宋" w:cs="仿宋"/>
          <w:b/>
          <w:bCs w:val="0"/>
          <w:color w:val="auto"/>
          <w:sz w:val="28"/>
          <w:szCs w:val="28"/>
          <w:lang w:val="en-US" w:eastAsia="zh-CN"/>
        </w:rPr>
      </w:pPr>
      <w:bookmarkStart w:id="58" w:name="_Toc1530"/>
      <w:bookmarkStart w:id="59" w:name="_Toc13539"/>
      <w:bookmarkStart w:id="60" w:name="_Toc6818"/>
      <w:bookmarkStart w:id="61" w:name="_Toc4146"/>
      <w:bookmarkStart w:id="62" w:name="_Toc27812"/>
      <w:bookmarkStart w:id="63" w:name="_Toc5220"/>
      <w:bookmarkStart w:id="64" w:name="_Toc29488"/>
      <w:r>
        <w:rPr>
          <w:rFonts w:hint="eastAsia" w:ascii="仿宋" w:hAnsi="仿宋" w:eastAsia="仿宋" w:cs="仿宋"/>
          <w:b/>
          <w:bCs w:val="0"/>
          <w:color w:val="auto"/>
          <w:sz w:val="28"/>
          <w:szCs w:val="28"/>
          <w:lang w:val="en-US" w:eastAsia="zh-CN"/>
        </w:rPr>
        <w:t>2.3.1 国家有关法律法规</w:t>
      </w:r>
      <w:bookmarkEnd w:id="58"/>
      <w:bookmarkEnd w:id="59"/>
      <w:bookmarkEnd w:id="60"/>
      <w:bookmarkEnd w:id="61"/>
      <w:bookmarkEnd w:id="62"/>
      <w:r>
        <w:rPr>
          <w:rFonts w:hint="eastAsia" w:ascii="仿宋" w:hAnsi="仿宋" w:eastAsia="仿宋" w:cs="仿宋"/>
          <w:b/>
          <w:bCs w:val="0"/>
          <w:color w:val="auto"/>
          <w:sz w:val="28"/>
          <w:szCs w:val="28"/>
          <w:lang w:val="en-US" w:eastAsia="zh-CN"/>
        </w:rPr>
        <w:t>及规范性文件</w:t>
      </w:r>
      <w:bookmarkEnd w:id="63"/>
      <w:bookmarkEnd w:id="64"/>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bookmarkStart w:id="65" w:name="_Toc376"/>
      <w:bookmarkStart w:id="66" w:name="_Toc26492"/>
      <w:bookmarkStart w:id="67" w:name="_Toc4600"/>
      <w:bookmarkStart w:id="68" w:name="_Toc1558"/>
      <w:bookmarkStart w:id="69" w:name="_Toc5106"/>
      <w:r>
        <w:rPr>
          <w:rFonts w:hint="eastAsia" w:ascii="仿宋" w:hAnsi="仿宋" w:eastAsia="仿宋" w:cs="仿宋"/>
          <w:b w:val="0"/>
          <w:bCs w:val="0"/>
          <w:color w:val="auto"/>
          <w:sz w:val="24"/>
          <w:szCs w:val="32"/>
          <w:lang w:val="en-US" w:eastAsia="zh-CN"/>
        </w:rPr>
        <w:t>(1)《中华人民共和国环境保护法》（2014年4月24日，2015年1月1日起施行）；</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(2)《中华人民共和国土壤污染防治法》（2018年8月31日第十三届全国人民代表大会常务委员会第五次会议通过）；</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(3)《中华人民共和国固体废物污染环境防治法》（2020年9月1日施行）；</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(4)《土壤污染防治行动计划》（国发〔2016〕31号）；</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(5)《关于保障工业企业场地开发利用环境安全的通知》（环发 〔2012〕140号）；</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(6)《国务院关于印发土壤污染防治行动计划的通知》（国发 [2016]31号）；</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(7)《污染地块土壤环境管理办法（试行）》（环境保护部令第42 号）；</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(8)《关于贯彻落实土壤污染防治法推动解决突出土壤污染问题的 实施意见》（环办土壤〔2019〕47号）；</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(9)《关于印发地下水污染防治实施方案的通知》（环土壤〔2019〕 25号）；</w:t>
      </w:r>
    </w:p>
    <w:p>
      <w:pPr>
        <w:pStyle w:val="5"/>
        <w:keepNext w:val="0"/>
        <w:keepLines w:val="0"/>
        <w:pageBreakBefore w:val="0"/>
        <w:widowControl w:val="0"/>
        <w:numPr>
          <w:ilvl w:val="0"/>
          <w:numId w:val="0"/>
        </w:numPr>
        <w:kinsoku/>
        <w:wordWrap/>
        <w:overflowPunct/>
        <w:topLinePunct w:val="0"/>
        <w:autoSpaceDE/>
        <w:autoSpaceDN/>
        <w:bidi w:val="0"/>
        <w:adjustRightInd/>
        <w:snapToGrid/>
        <w:spacing w:after="0"/>
        <w:ind w:leftChars="0" w:firstLine="480" w:firstLineChars="200"/>
        <w:textAlignment w:val="auto"/>
        <w:rPr>
          <w:rFonts w:hint="eastAsia" w:ascii="仿宋" w:hAnsi="仿宋" w:eastAsia="仿宋" w:cs="仿宋"/>
          <w:color w:val="auto"/>
        </w:rPr>
      </w:pPr>
      <w:r>
        <w:rPr>
          <w:rFonts w:hint="eastAsia" w:ascii="仿宋" w:hAnsi="仿宋" w:eastAsia="仿宋" w:cs="仿宋"/>
          <w:b w:val="0"/>
          <w:bCs w:val="0"/>
          <w:color w:val="auto"/>
          <w:sz w:val="24"/>
          <w:szCs w:val="32"/>
          <w:lang w:val="en-US" w:eastAsia="zh-CN"/>
        </w:rPr>
        <w:t>(10)关于发布《建设用地土壤污染状况初步调查监督检查工作指南（试行）》《建设用地土壤污染状况调查质量控制技术规定（试行）》的公告（公告 2022年 第17号）。</w:t>
      </w:r>
    </w:p>
    <w:p>
      <w:pPr>
        <w:pStyle w:val="5"/>
        <w:keepNext w:val="0"/>
        <w:keepLines w:val="0"/>
        <w:pageBreakBefore w:val="0"/>
        <w:kinsoku/>
        <w:wordWrap/>
        <w:overflowPunct/>
        <w:topLinePunct w:val="0"/>
        <w:autoSpaceDE/>
        <w:autoSpaceDN/>
        <w:bidi w:val="0"/>
        <w:adjustRightInd/>
        <w:snapToGrid/>
        <w:spacing w:after="0" w:afterLines="0" w:line="360" w:lineRule="auto"/>
        <w:ind w:left="0" w:leftChars="0" w:firstLine="0" w:firstLineChars="0"/>
        <w:textAlignment w:val="auto"/>
        <w:outlineLvl w:val="2"/>
        <w:rPr>
          <w:rFonts w:hint="eastAsia" w:ascii="仿宋" w:hAnsi="仿宋" w:eastAsia="仿宋" w:cs="仿宋"/>
          <w:b/>
          <w:bCs w:val="0"/>
          <w:color w:val="auto"/>
          <w:sz w:val="28"/>
          <w:szCs w:val="28"/>
          <w:lang w:val="en-US" w:eastAsia="zh-CN"/>
        </w:rPr>
      </w:pPr>
      <w:bookmarkStart w:id="70" w:name="_Toc22223"/>
      <w:bookmarkStart w:id="71" w:name="_Toc6237"/>
      <w:r>
        <w:rPr>
          <w:rFonts w:hint="eastAsia" w:ascii="仿宋" w:hAnsi="仿宋" w:eastAsia="仿宋" w:cs="仿宋"/>
          <w:b/>
          <w:bCs w:val="0"/>
          <w:color w:val="auto"/>
          <w:sz w:val="28"/>
          <w:szCs w:val="28"/>
          <w:lang w:val="en-US" w:eastAsia="zh-CN"/>
        </w:rPr>
        <w:t>2.3.2 地方有关法规、规章及规范性文件</w:t>
      </w:r>
      <w:bookmarkEnd w:id="70"/>
      <w:bookmarkEnd w:id="71"/>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bookmarkStart w:id="72" w:name="_Toc6233"/>
      <w:bookmarkStart w:id="73" w:name="_Toc8637"/>
      <w:r>
        <w:rPr>
          <w:rFonts w:hint="eastAsia" w:ascii="仿宋" w:hAnsi="仿宋" w:eastAsia="仿宋" w:cs="仿宋"/>
          <w:b w:val="0"/>
          <w:bCs w:val="0"/>
          <w:color w:val="auto"/>
          <w:sz w:val="24"/>
          <w:szCs w:val="32"/>
          <w:lang w:val="en-US" w:eastAsia="zh-CN"/>
        </w:rPr>
        <w:t>(1)《中共江苏省委江苏省人民政府关于加强生态环境保护和建设的意见》（苏发〔2003〕7号）；</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(2)《江苏省固体废物污染环境防治条例》（公告第29号）；</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(3)《关于加强我省工业企业场地再开发利用环境安全管理工作的 通知》（苏环办〔2013〕157号文）；</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(4)《江苏省政府关于印发江苏省土壤污染防治工作方案的通知》 （苏政发〔2016〕169 号）；</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(5)《江苏省土壤污染防治条例》（2022年3月31日江苏省第十三 届人民代表大会常务委员会第二十九次会议通过）；</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(6)《南通市土壤污染防治工作方案》（通政发〔2017〕20号）；</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(7)《南通市生态环境局关于加强污染地块环境监管的通知》（通土环〔2019〕4号）；</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(8)关于印发《南通市建设用地土壤污染状况调查报告评审工作指南（2023 年修订）》（〔2023〕10号）。</w:t>
      </w:r>
    </w:p>
    <w:p>
      <w:pPr>
        <w:pStyle w:val="5"/>
        <w:keepNext w:val="0"/>
        <w:keepLines w:val="0"/>
        <w:pageBreakBefore w:val="0"/>
        <w:kinsoku/>
        <w:wordWrap/>
        <w:overflowPunct/>
        <w:topLinePunct w:val="0"/>
        <w:autoSpaceDE/>
        <w:autoSpaceDN/>
        <w:bidi w:val="0"/>
        <w:adjustRightInd/>
        <w:snapToGrid/>
        <w:spacing w:after="0" w:afterLines="0" w:line="360" w:lineRule="auto"/>
        <w:ind w:left="0" w:leftChars="0" w:firstLine="0" w:firstLineChars="0"/>
        <w:textAlignment w:val="auto"/>
        <w:outlineLvl w:val="2"/>
        <w:rPr>
          <w:rFonts w:hint="eastAsia" w:ascii="仿宋" w:hAnsi="仿宋" w:eastAsia="仿宋" w:cs="仿宋"/>
          <w:b/>
          <w:bCs w:val="0"/>
          <w:color w:val="auto"/>
          <w:sz w:val="28"/>
          <w:szCs w:val="28"/>
          <w:lang w:val="en-US" w:eastAsia="zh-CN"/>
        </w:rPr>
      </w:pPr>
      <w:r>
        <w:rPr>
          <w:rFonts w:hint="eastAsia" w:ascii="仿宋" w:hAnsi="仿宋" w:eastAsia="仿宋" w:cs="仿宋"/>
          <w:b/>
          <w:bCs w:val="0"/>
          <w:color w:val="auto"/>
          <w:sz w:val="28"/>
          <w:szCs w:val="28"/>
          <w:lang w:val="en-US" w:eastAsia="zh-CN"/>
        </w:rPr>
        <w:t>2.3.3 技术导则、相关标准及规范</w:t>
      </w:r>
      <w:bookmarkEnd w:id="65"/>
      <w:bookmarkEnd w:id="66"/>
      <w:bookmarkEnd w:id="67"/>
      <w:bookmarkEnd w:id="68"/>
      <w:bookmarkEnd w:id="69"/>
      <w:bookmarkEnd w:id="72"/>
      <w:bookmarkEnd w:id="73"/>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bookmarkStart w:id="74" w:name="_Toc25779"/>
      <w:r>
        <w:rPr>
          <w:rFonts w:hint="eastAsia" w:ascii="仿宋" w:hAnsi="仿宋" w:eastAsia="仿宋" w:cs="仿宋"/>
          <w:b w:val="0"/>
          <w:bCs w:val="0"/>
          <w:color w:val="auto"/>
          <w:sz w:val="24"/>
          <w:szCs w:val="32"/>
          <w:lang w:val="en-US" w:eastAsia="zh-CN"/>
        </w:rPr>
        <w:t>(1)《建设用地土壤污染风险管控和修复术语》（HJ682-2019）；</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(2)《建设用地土壤污染状况调查技术导则》（HJ25.1-2019）；</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(3)《建设用地土壤污染风险管控和修复监测技术导则》（HJ25.2-2019）；</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(4)《建设用地土壤污染风险评估技术导则》（HJ25.3-2019）；</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(5)《污染地块风险管控与土壤修复效果评估技术导则（试行）》（HJ25.5-2018）;</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(6)《复合污染工业地块调查技术指南（DB32/T 4424-2022）；</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(7)《地下水环境状况调查评价工作指南》（环办土壤函〔2019〕770号）；</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(8)《地下水污染模拟预测评估工作指南》（试行）（环办土壤函〔2019〕770号）；</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(9)《地下水污染健康风险评估工作指南》（环办土壤函〔2019〕770号）；</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(10)《地下水污染防治分区划分工作指南》（环办土壤函〔2019〕770号）；</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(11)《建设用地土壤环境调查评估技术指南》（公告 2017年 第72 号）；</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(12)《工业企业场地环境调查评估与修复工作指南（试行）》（公告 2014年 第78号）；</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(13)《土壤环境监测技术规范》（HJ/T166-2004）；</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(14)《地下水环境监测技术规范》（HJ 164-2020）；</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default"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(15)《地表水环境质量监测技术规范》（HJ91.2-2022）；</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(16)《水质样品的保存和管理技术规定》（HJ 493—2009）；</w:t>
      </w:r>
    </w:p>
    <w:p>
      <w:pPr>
        <w:pStyle w:val="5"/>
        <w:keepNext w:val="0"/>
        <w:keepLines w:val="0"/>
        <w:pageBreakBefore w:val="0"/>
        <w:widowControl w:val="0"/>
        <w:numPr>
          <w:ilvl w:val="0"/>
          <w:numId w:val="0"/>
        </w:numPr>
        <w:kinsoku/>
        <w:wordWrap/>
        <w:overflowPunct/>
        <w:topLinePunct w:val="0"/>
        <w:autoSpaceDE/>
        <w:autoSpaceDN/>
        <w:bidi w:val="0"/>
        <w:adjustRightInd/>
        <w:snapToGrid/>
        <w:spacing w:after="0"/>
        <w:ind w:leftChars="200"/>
        <w:textAlignment w:val="auto"/>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(17)《地块土壤和地下水中挥发性有机物采样技术导则》（HJ1019-2019）。</w:t>
      </w:r>
    </w:p>
    <w:p>
      <w:pPr>
        <w:pStyle w:val="5"/>
        <w:keepNext w:val="0"/>
        <w:keepLines w:val="0"/>
        <w:pageBreakBefore w:val="0"/>
        <w:kinsoku/>
        <w:wordWrap/>
        <w:overflowPunct/>
        <w:topLinePunct w:val="0"/>
        <w:autoSpaceDE/>
        <w:autoSpaceDN/>
        <w:bidi w:val="0"/>
        <w:adjustRightInd/>
        <w:snapToGrid/>
        <w:spacing w:after="0" w:afterLines="0" w:line="360" w:lineRule="auto"/>
        <w:ind w:left="0" w:leftChars="0" w:firstLine="0" w:firstLineChars="0"/>
        <w:textAlignment w:val="auto"/>
        <w:outlineLvl w:val="2"/>
        <w:rPr>
          <w:rFonts w:hint="eastAsia" w:ascii="仿宋" w:hAnsi="仿宋" w:eastAsia="仿宋" w:cs="仿宋"/>
          <w:b/>
          <w:bCs w:val="0"/>
          <w:color w:val="auto"/>
          <w:sz w:val="28"/>
          <w:szCs w:val="28"/>
          <w:lang w:val="en-US" w:eastAsia="zh-CN"/>
        </w:rPr>
      </w:pPr>
      <w:bookmarkStart w:id="75" w:name="_Toc10326"/>
      <w:bookmarkStart w:id="76" w:name="_Toc4940"/>
      <w:r>
        <w:rPr>
          <w:rFonts w:hint="eastAsia" w:ascii="仿宋" w:hAnsi="仿宋" w:eastAsia="仿宋" w:cs="仿宋"/>
          <w:b/>
          <w:bCs w:val="0"/>
          <w:color w:val="auto"/>
          <w:sz w:val="28"/>
          <w:szCs w:val="28"/>
          <w:lang w:val="en-US" w:eastAsia="zh-CN"/>
        </w:rPr>
        <w:t>2.3.4 评价标准</w:t>
      </w:r>
      <w:bookmarkEnd w:id="74"/>
      <w:bookmarkEnd w:id="75"/>
      <w:bookmarkEnd w:id="76"/>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（1）《土壤环境质量 建设用地土壤污染风险管控标准（试行）》（GB 36600-2018）；</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（2）《地下水质量标准》（GB/T 14848-2017）；</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（3）上海市生态环境局关于印发《上海市建设用地土壤污染状况调查、风险评估、风险管控与修复方案编制、风险管控与修复效果评估工作的补充规定（试 行）》的通知（沪环土〔2020〕62号）；</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（4）深圳市《建设用地土壤污染风险筛选值和管制值（DB4403/T 67—2020）》；</w:t>
      </w:r>
    </w:p>
    <w:p>
      <w:pPr>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jc w:val="left"/>
        <w:textAlignment w:val="auto"/>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（5）河北省《建设用地土壤污染风险筛选值》(DB13/T5216-2020）；</w:t>
      </w:r>
    </w:p>
    <w:p>
      <w:pPr>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jc w:val="left"/>
        <w:textAlignment w:val="auto"/>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（6）黑龙江省《土壤污染防治风险筛选指导值（试行）》（DB23/T3314-2022）；</w:t>
      </w:r>
    </w:p>
    <w:p>
      <w:pPr>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jc w:val="left"/>
        <w:textAlignment w:val="auto"/>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（7）《污染场地风险评估电子表格》；</w:t>
      </w:r>
    </w:p>
    <w:p>
      <w:pPr>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jc w:val="left"/>
        <w:textAlignment w:val="auto"/>
        <w:rPr>
          <w:rFonts w:hint="eastAsia" w:ascii="仿宋" w:hAnsi="仿宋" w:eastAsia="仿宋" w:cs="仿宋"/>
          <w:b w:val="0"/>
          <w:bCs w:val="0"/>
          <w:color w:val="auto"/>
          <w:sz w:val="24"/>
          <w:szCs w:val="32"/>
          <w:lang w:val="en-US" w:eastAsia="zh-CN"/>
        </w:rPr>
      </w:pPr>
      <w:bookmarkStart w:id="77" w:name="_Toc17550"/>
      <w:bookmarkStart w:id="78" w:name="_Toc16002"/>
      <w:bookmarkStart w:id="79" w:name="_Toc10397"/>
      <w:bookmarkStart w:id="80" w:name="_Toc9530"/>
      <w:bookmarkStart w:id="81" w:name="_Toc10113"/>
      <w:bookmarkStart w:id="82" w:name="_Toc5069"/>
      <w:bookmarkStart w:id="83" w:name="_Toc5490"/>
      <w:r>
        <w:rPr>
          <w:rFonts w:hint="eastAsia" w:ascii="仿宋" w:hAnsi="仿宋" w:eastAsia="仿宋" w:cs="仿宋"/>
          <w:b w:val="0"/>
          <w:bCs w:val="0"/>
          <w:color w:val="auto"/>
          <w:sz w:val="24"/>
          <w:szCs w:val="32"/>
          <w:lang w:val="en-US" w:eastAsia="zh-CN"/>
        </w:rPr>
        <w:t>（8）《地表水环境质量标准》（GB3838-2002）。</w:t>
      </w:r>
    </w:p>
    <w:p>
      <w:pPr>
        <w:pStyle w:val="5"/>
        <w:keepNext w:val="0"/>
        <w:keepLines w:val="0"/>
        <w:pageBreakBefore w:val="0"/>
        <w:kinsoku/>
        <w:wordWrap/>
        <w:overflowPunct/>
        <w:topLinePunct w:val="0"/>
        <w:autoSpaceDE/>
        <w:autoSpaceDN/>
        <w:bidi w:val="0"/>
        <w:adjustRightInd/>
        <w:snapToGrid/>
        <w:spacing w:after="0" w:afterLines="0" w:line="360" w:lineRule="auto"/>
        <w:ind w:left="0" w:leftChars="0" w:firstLine="0" w:firstLineChars="0"/>
        <w:textAlignment w:val="auto"/>
        <w:outlineLvl w:val="2"/>
        <w:rPr>
          <w:rFonts w:hint="eastAsia" w:ascii="仿宋" w:hAnsi="仿宋" w:eastAsia="仿宋" w:cs="仿宋"/>
          <w:b/>
          <w:bCs w:val="0"/>
          <w:color w:val="auto"/>
          <w:sz w:val="28"/>
          <w:szCs w:val="28"/>
          <w:lang w:val="en-US" w:eastAsia="zh-CN"/>
        </w:rPr>
      </w:pPr>
      <w:r>
        <w:rPr>
          <w:rFonts w:hint="eastAsia" w:ascii="仿宋" w:hAnsi="仿宋" w:eastAsia="仿宋" w:cs="仿宋"/>
          <w:b/>
          <w:bCs w:val="0"/>
          <w:color w:val="auto"/>
          <w:sz w:val="28"/>
          <w:szCs w:val="28"/>
          <w:lang w:val="en-US" w:eastAsia="zh-CN"/>
        </w:rPr>
        <w:t>2.3.5 其他资料</w:t>
      </w:r>
      <w:bookmarkEnd w:id="77"/>
      <w:bookmarkEnd w:id="78"/>
      <w:bookmarkEnd w:id="79"/>
      <w:bookmarkEnd w:id="80"/>
      <w:bookmarkEnd w:id="81"/>
      <w:bookmarkEnd w:id="82"/>
      <w:bookmarkEnd w:id="83"/>
    </w:p>
    <w:p>
      <w:pPr>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rFonts w:hint="eastAsia" w:ascii="仿宋" w:hAnsi="仿宋" w:eastAsia="仿宋" w:cs="仿宋"/>
          <w:color w:val="auto"/>
          <w:lang w:val="en-US" w:eastAsia="zh-CN"/>
        </w:rPr>
      </w:pPr>
      <w:r>
        <w:rPr>
          <w:rFonts w:hint="eastAsia" w:ascii="仿宋" w:hAnsi="仿宋" w:eastAsia="仿宋" w:cs="仿宋"/>
          <w:color w:val="auto"/>
          <w:lang w:val="en-US" w:eastAsia="zh-CN"/>
        </w:rPr>
        <w:t>（1）如皋城西片区一期桃源路东、广福路北（324# 、325# ）地块红线图（如皋市行政审批局2023年9月）；</w:t>
      </w:r>
    </w:p>
    <w:p>
      <w:pPr>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rFonts w:hint="eastAsia" w:ascii="仿宋" w:hAnsi="仿宋" w:eastAsia="仿宋" w:cs="仿宋"/>
          <w:color w:val="auto"/>
          <w:lang w:val="en-US" w:eastAsia="zh-CN"/>
        </w:rPr>
      </w:pPr>
      <w:r>
        <w:rPr>
          <w:rFonts w:hint="eastAsia" w:ascii="仿宋" w:hAnsi="仿宋" w:eastAsia="仿宋" w:cs="仿宋"/>
          <w:color w:val="auto"/>
          <w:lang w:val="en-US" w:eastAsia="zh-CN"/>
        </w:rPr>
        <w:t>（2）</w:t>
      </w:r>
      <w:r>
        <w:rPr>
          <w:rFonts w:hint="eastAsia" w:ascii="仿宋" w:hAnsi="仿宋" w:eastAsia="仿宋" w:cs="仿宋"/>
          <w:color w:val="auto"/>
          <w:kern w:val="0"/>
          <w:sz w:val="24"/>
          <w:szCs w:val="24"/>
          <w:lang w:val="en-US" w:eastAsia="zh-CN" w:bidi="ar"/>
        </w:rPr>
        <w:t>《开发GJ2021-273#51商业楼项目岩土工程勘察报告</w:t>
      </w:r>
      <w:r>
        <w:rPr>
          <w:rFonts w:hint="eastAsia" w:ascii="仿宋" w:hAnsi="仿宋" w:eastAsia="仿宋" w:cs="仿宋"/>
          <w:color w:val="auto"/>
          <w:sz w:val="24"/>
          <w:szCs w:val="24"/>
          <w:lang w:val="en-US" w:eastAsia="zh-CN"/>
        </w:rPr>
        <w:t>（勘察编号：2022R002）</w:t>
      </w:r>
      <w:r>
        <w:rPr>
          <w:rFonts w:hint="eastAsia" w:ascii="仿宋" w:hAnsi="仿宋" w:eastAsia="仿宋" w:cs="仿宋"/>
          <w:color w:val="auto"/>
          <w:kern w:val="0"/>
          <w:sz w:val="24"/>
          <w:szCs w:val="24"/>
          <w:lang w:val="en-US" w:eastAsia="zh-CN" w:bidi="ar"/>
        </w:rPr>
        <w:t>》</w:t>
      </w:r>
      <w:r>
        <w:rPr>
          <w:rFonts w:hint="eastAsia" w:ascii="仿宋" w:hAnsi="仿宋" w:eastAsia="仿宋" w:cs="仿宋"/>
          <w:color w:val="auto"/>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rFonts w:hint="eastAsia" w:ascii="仿宋" w:hAnsi="仿宋" w:eastAsia="仿宋" w:cs="仿宋"/>
          <w:color w:val="auto"/>
          <w:lang w:val="en-US" w:eastAsia="zh-CN"/>
        </w:rPr>
      </w:pPr>
      <w:r>
        <w:rPr>
          <w:rFonts w:hint="eastAsia" w:ascii="仿宋" w:hAnsi="仿宋" w:eastAsia="仿宋" w:cs="仿宋"/>
          <w:color w:val="auto"/>
          <w:lang w:val="en-US" w:eastAsia="zh-CN"/>
        </w:rPr>
        <w:t>（3）周边企业环评资料及重点行业信息采集报告资料等。</w:t>
      </w:r>
    </w:p>
    <w:p>
      <w:pPr>
        <w:pStyle w:val="13"/>
        <w:keepNext w:val="0"/>
        <w:keepLines w:val="0"/>
        <w:pageBreakBefore w:val="0"/>
        <w:widowControl w:val="0"/>
        <w:kinsoku/>
        <w:wordWrap/>
        <w:overflowPunct/>
        <w:topLinePunct w:val="0"/>
        <w:autoSpaceDE/>
        <w:autoSpaceDN/>
        <w:bidi w:val="0"/>
        <w:adjustRightInd/>
        <w:snapToGrid/>
        <w:spacing w:after="0" w:afterLines="0"/>
        <w:ind w:left="0" w:firstLine="480" w:firstLineChars="200"/>
        <w:textAlignment w:val="auto"/>
        <w:rPr>
          <w:rFonts w:hint="eastAsia" w:ascii="仿宋" w:hAnsi="仿宋" w:eastAsia="仿宋" w:cs="仿宋"/>
          <w:color w:val="auto"/>
          <w:sz w:val="24"/>
          <w:szCs w:val="18"/>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pStyle w:val="5"/>
        <w:keepNext w:val="0"/>
        <w:keepLines w:val="0"/>
        <w:pageBreakBefore w:val="0"/>
        <w:kinsoku/>
        <w:wordWrap/>
        <w:overflowPunct/>
        <w:topLinePunct w:val="0"/>
        <w:autoSpaceDE/>
        <w:autoSpaceDN/>
        <w:bidi w:val="0"/>
        <w:adjustRightInd/>
        <w:snapToGrid/>
        <w:spacing w:after="0" w:afterLines="0" w:line="360" w:lineRule="auto"/>
        <w:ind w:left="0" w:leftChars="0" w:firstLine="0" w:firstLineChars="0"/>
        <w:textAlignment w:val="auto"/>
        <w:outlineLvl w:val="1"/>
        <w:rPr>
          <w:rFonts w:hint="eastAsia" w:ascii="仿宋" w:hAnsi="仿宋" w:eastAsia="仿宋" w:cs="仿宋"/>
          <w:b/>
          <w:bCs w:val="0"/>
          <w:color w:val="auto"/>
          <w:sz w:val="28"/>
          <w:szCs w:val="28"/>
          <w:lang w:val="en-US" w:eastAsia="zh-CN"/>
        </w:rPr>
      </w:pPr>
      <w:bookmarkStart w:id="84" w:name="_Toc31012"/>
      <w:bookmarkStart w:id="85" w:name="_Toc7083"/>
      <w:bookmarkStart w:id="86" w:name="_Toc8181"/>
      <w:bookmarkStart w:id="87" w:name="_Toc19182"/>
      <w:bookmarkStart w:id="88" w:name="_Toc16225"/>
      <w:bookmarkStart w:id="89" w:name="_Toc15596"/>
      <w:r>
        <w:rPr>
          <w:rFonts w:hint="eastAsia" w:ascii="仿宋" w:hAnsi="仿宋" w:eastAsia="仿宋" w:cs="仿宋"/>
          <w:b/>
          <w:bCs w:val="0"/>
          <w:color w:val="auto"/>
          <w:sz w:val="28"/>
          <w:szCs w:val="28"/>
          <w:lang w:val="en-US" w:eastAsia="zh-CN"/>
        </w:rPr>
        <w:t xml:space="preserve">2.4  </w:t>
      </w:r>
      <w:bookmarkEnd w:id="84"/>
      <w:bookmarkEnd w:id="85"/>
      <w:r>
        <w:rPr>
          <w:rFonts w:hint="eastAsia" w:ascii="仿宋" w:hAnsi="仿宋" w:eastAsia="仿宋" w:cs="仿宋"/>
          <w:b/>
          <w:bCs w:val="0"/>
          <w:color w:val="auto"/>
          <w:sz w:val="28"/>
          <w:szCs w:val="28"/>
          <w:lang w:val="en-US" w:eastAsia="zh-CN"/>
        </w:rPr>
        <w:t>调查方法</w:t>
      </w:r>
      <w:bookmarkEnd w:id="86"/>
      <w:bookmarkEnd w:id="87"/>
      <w:bookmarkEnd w:id="88"/>
      <w:bookmarkEnd w:id="89"/>
    </w:p>
    <w:p>
      <w:pPr>
        <w:keepNext w:val="0"/>
        <w:keepLines w:val="0"/>
        <w:pageBreakBefore w:val="0"/>
        <w:kinsoku/>
        <w:wordWrap/>
        <w:overflowPunct/>
        <w:topLinePunct w:val="0"/>
        <w:bidi w:val="0"/>
        <w:spacing w:line="360" w:lineRule="auto"/>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土壤污染状况调查工作主要依据《建设用地土壤污染状况调查技术导则》（HJ 25.1-2019）中的工作程序，其调查的工作程序如下图所示，其中红线标识为本次调查的主要内容：</w:t>
      </w:r>
    </w:p>
    <w:p>
      <w:pPr>
        <w:pStyle w:val="5"/>
        <w:keepNext w:val="0"/>
        <w:keepLines w:val="0"/>
        <w:pageBreakBefore w:val="0"/>
        <w:widowControl w:val="0"/>
        <w:kinsoku/>
        <w:wordWrap/>
        <w:overflowPunct/>
        <w:topLinePunct w:val="0"/>
        <w:autoSpaceDE/>
        <w:autoSpaceDN/>
        <w:bidi w:val="0"/>
        <w:adjustRightInd/>
        <w:snapToGrid/>
        <w:spacing w:after="0"/>
        <w:ind w:firstLine="0" w:firstLineChars="0"/>
        <w:jc w:val="both"/>
        <w:textAlignment w:val="auto"/>
        <w:rPr>
          <w:rFonts w:hint="eastAsia" w:ascii="仿宋" w:hAnsi="仿宋" w:eastAsia="仿宋" w:cs="仿宋"/>
          <w:b/>
          <w:bCs/>
          <w:color w:val="auto"/>
          <w:lang w:val="en-US" w:eastAsia="zh-CN"/>
        </w:rPr>
      </w:pPr>
      <w:r>
        <w:rPr>
          <w:rFonts w:hint="eastAsia" w:ascii="仿宋" w:hAnsi="仿宋" w:eastAsia="仿宋" w:cs="仿宋"/>
          <w:color w:val="auto"/>
        </w:rPr>
        <w:object>
          <v:shape id="_x0000_i1029" o:spt="75" type="#_x0000_t75" style="height:537.3pt;width:409pt;" o:ole="t" filled="f" o:preferrelative="t" stroked="f" coordsize="21600,21600">
            <v:path/>
            <v:fill on="f" focussize="0,0"/>
            <v:stroke on="f"/>
            <v:imagedata r:id="rId20" o:title=""/>
            <o:lock v:ext="edit" aspectratio="f"/>
            <w10:wrap type="none"/>
            <w10:anchorlock/>
          </v:shape>
          <o:OLEObject Type="Embed" ProgID="Visio.Drawing.11" ShapeID="_x0000_i1029" DrawAspect="Content" ObjectID="_1468075725" r:id="rId19">
            <o:LockedField>false</o:LockedField>
          </o:OLEObject>
        </w:object>
      </w:r>
      <w:r>
        <w:rPr>
          <w:rFonts w:hint="eastAsia" w:ascii="仿宋" w:hAnsi="仿宋" w:eastAsia="仿宋" w:cs="仿宋"/>
          <w:b/>
          <w:bCs/>
          <w:color w:val="auto"/>
          <w:lang w:val="en-US" w:eastAsia="zh-CN"/>
        </w:rPr>
        <w:t>图2.4-1土壤污染状况调查的工作内容与程序(红线范围为本次调查内容）</w:t>
      </w:r>
    </w:p>
    <w:p>
      <w:pPr>
        <w:bidi w:val="0"/>
        <w:rPr>
          <w:rFonts w:hint="eastAsia" w:ascii="仿宋" w:hAnsi="仿宋" w:eastAsia="仿宋" w:cs="仿宋"/>
          <w:color w:val="auto"/>
          <w:lang w:val="en-US" w:eastAsia="zh-CN"/>
        </w:rPr>
      </w:pPr>
      <w:bookmarkStart w:id="90" w:name="_Toc12438"/>
      <w:bookmarkStart w:id="91" w:name="_Toc4536"/>
      <w:bookmarkStart w:id="92" w:name="_Toc29209"/>
      <w:bookmarkStart w:id="93" w:name="_Toc14930"/>
      <w:bookmarkStart w:id="94" w:name="_Toc30142"/>
      <w:bookmarkStart w:id="95" w:name="_Toc2420"/>
      <w:bookmarkStart w:id="96" w:name="_Toc30146"/>
      <w:bookmarkStart w:id="97" w:name="_Toc31636"/>
      <w:bookmarkStart w:id="98" w:name="_Toc8608"/>
      <w:bookmarkStart w:id="99" w:name="_Toc17615"/>
      <w:r>
        <w:rPr>
          <w:rFonts w:hint="eastAsia" w:ascii="仿宋" w:hAnsi="仿宋" w:eastAsia="仿宋" w:cs="仿宋"/>
          <w:color w:val="auto"/>
        </w:rPr>
        <w:t>（1）资料收集与分析</w:t>
      </w:r>
      <w:bookmarkEnd w:id="90"/>
      <w:bookmarkEnd w:id="91"/>
      <w:bookmarkEnd w:id="92"/>
      <w:bookmarkEnd w:id="93"/>
      <w:bookmarkEnd w:id="94"/>
      <w:bookmarkEnd w:id="95"/>
      <w:bookmarkEnd w:id="96"/>
      <w:bookmarkEnd w:id="97"/>
      <w:bookmarkEnd w:id="98"/>
      <w:bookmarkEnd w:id="99"/>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color w:val="auto"/>
        </w:rPr>
      </w:pPr>
      <w:r>
        <w:rPr>
          <w:rFonts w:hint="eastAsia" w:ascii="仿宋" w:hAnsi="仿宋" w:eastAsia="仿宋" w:cs="仿宋"/>
          <w:color w:val="auto"/>
          <w:lang w:val="en-US" w:eastAsia="zh-CN"/>
        </w:rPr>
        <w:t>本次调查</w:t>
      </w:r>
      <w:r>
        <w:rPr>
          <w:rFonts w:hint="eastAsia" w:ascii="仿宋" w:hAnsi="仿宋" w:eastAsia="仿宋" w:cs="仿宋"/>
          <w:color w:val="auto"/>
        </w:rPr>
        <w:t>通过</w:t>
      </w:r>
      <w:r>
        <w:rPr>
          <w:rFonts w:hint="eastAsia" w:ascii="仿宋" w:hAnsi="仿宋" w:eastAsia="仿宋" w:cs="仿宋"/>
          <w:color w:val="auto"/>
          <w:lang w:val="en-US" w:eastAsia="zh-CN"/>
        </w:rPr>
        <w:t>走访企业</w:t>
      </w:r>
      <w:r>
        <w:rPr>
          <w:rFonts w:hint="eastAsia" w:ascii="仿宋" w:hAnsi="仿宋" w:eastAsia="仿宋" w:cs="仿宋"/>
          <w:color w:val="auto"/>
        </w:rPr>
        <w:t>收集地块相关的资料，了解地块历史和生产工艺，判断地块潜在污染区域，指导现场采样。资料的收集主要包括：地块利用变迁资料、地块环境资料、地块相关记录、有关政府文件、以及地块所在区域的自然和社会信息。</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color w:val="auto"/>
        </w:rPr>
      </w:pPr>
      <w:r>
        <w:rPr>
          <w:rFonts w:hint="eastAsia" w:ascii="仿宋" w:hAnsi="仿宋" w:eastAsia="仿宋" w:cs="仿宋"/>
          <w:color w:val="auto"/>
        </w:rPr>
        <w:t>地块利用变迁资料包括：用来辨识地块及其相邻地块的开发及活动状况的航片或卫星图片，地块的土地使用和规划资料，其它有助于评价地块污染的历史资料，如土地登记信息资料等。地块利用变迁过程中的地块内建筑、设施、工艺流程和生产污染等的变化情况。</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color w:val="auto"/>
        </w:rPr>
      </w:pPr>
      <w:r>
        <w:rPr>
          <w:rFonts w:hint="eastAsia" w:ascii="仿宋" w:hAnsi="仿宋" w:eastAsia="仿宋" w:cs="仿宋"/>
          <w:color w:val="auto"/>
        </w:rPr>
        <w:t>地块环境资料包括：地块土壤及地下水污染记录、地块危险废物堆放记录以及地块与自然保护区和水源地保护区等的位置关系等。</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color w:val="auto"/>
        </w:rPr>
      </w:pPr>
      <w:r>
        <w:rPr>
          <w:rFonts w:hint="eastAsia" w:ascii="仿宋" w:hAnsi="仿宋" w:eastAsia="仿宋" w:cs="仿宋"/>
          <w:color w:val="auto"/>
        </w:rPr>
        <w:t>地块相关记录包括：产品、原辅材料及中间体清单、平面布置图、工艺流程图、地下管线图、化学品储存及使用清单、泄漏记录、废物管理记录、地上及地下储罐清单、环境监测数据、环境影响报告书或表、环境审计报告和地勘报告等。</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color w:val="auto"/>
        </w:rPr>
      </w:pPr>
      <w:r>
        <w:rPr>
          <w:rFonts w:hint="eastAsia" w:ascii="仿宋" w:hAnsi="仿宋" w:eastAsia="仿宋" w:cs="仿宋"/>
          <w:color w:val="auto"/>
        </w:rPr>
        <w:t>由政府机关和权威机构所保存和发布的环境资料，如区域环境保护规划、环境质量公告、企业在政府部门相关环境备案和批复以及生态和水源保护区规划等。</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color w:val="auto"/>
        </w:rPr>
      </w:pPr>
      <w:r>
        <w:rPr>
          <w:rFonts w:hint="eastAsia" w:ascii="仿宋" w:hAnsi="仿宋" w:eastAsia="仿宋" w:cs="仿宋"/>
          <w:color w:val="auto"/>
        </w:rPr>
        <w:t>地块所在区域的自然和社会信息包括：自然信息包括地理位置图、地形、地貌、土壤、水文、地质和气象资料等；社会信息包括人口密度和分布，敏感目标分布，及土地利用方式，区域所在地的经济现状和发展规划，相关的国家和地方的政策、法规与标准，以及当地地方性疾病统计信息等。</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color w:val="auto"/>
        </w:rPr>
      </w:pPr>
      <w:r>
        <w:rPr>
          <w:rFonts w:hint="eastAsia" w:ascii="仿宋" w:hAnsi="仿宋" w:eastAsia="仿宋" w:cs="仿宋"/>
          <w:color w:val="auto"/>
        </w:rPr>
        <w:t>资料分析：调查人员根据专业知识和经验识别资料中的错误和不合理的信息，资料缺失影响判断地块污染状况</w:t>
      </w:r>
      <w:r>
        <w:rPr>
          <w:rFonts w:hint="eastAsia" w:ascii="仿宋" w:hAnsi="仿宋" w:eastAsia="仿宋" w:cs="仿宋"/>
          <w:color w:val="auto"/>
          <w:lang w:val="en-US" w:eastAsia="zh-CN"/>
        </w:rPr>
        <w:t>的情况</w:t>
      </w:r>
      <w:r>
        <w:rPr>
          <w:rFonts w:hint="eastAsia" w:ascii="仿宋" w:hAnsi="仿宋" w:eastAsia="仿宋" w:cs="仿宋"/>
          <w:color w:val="auto"/>
        </w:rPr>
        <w:t>，</w:t>
      </w:r>
      <w:r>
        <w:rPr>
          <w:rFonts w:hint="eastAsia" w:ascii="仿宋" w:hAnsi="仿宋" w:eastAsia="仿宋" w:cs="仿宋"/>
          <w:color w:val="auto"/>
          <w:lang w:val="en-US" w:eastAsia="zh-CN"/>
        </w:rPr>
        <w:t>均</w:t>
      </w:r>
      <w:r>
        <w:rPr>
          <w:rFonts w:hint="eastAsia" w:ascii="仿宋" w:hAnsi="仿宋" w:eastAsia="仿宋" w:cs="仿宋"/>
          <w:color w:val="auto"/>
        </w:rPr>
        <w:t>在报告中说明。</w:t>
      </w:r>
    </w:p>
    <w:p>
      <w:pPr>
        <w:bidi w:val="0"/>
        <w:rPr>
          <w:rFonts w:hint="eastAsia" w:ascii="仿宋" w:hAnsi="仿宋" w:eastAsia="仿宋" w:cs="仿宋"/>
          <w:color w:val="auto"/>
        </w:rPr>
      </w:pPr>
      <w:bookmarkStart w:id="100" w:name="_Toc8536"/>
      <w:bookmarkStart w:id="101" w:name="_Toc19996"/>
      <w:bookmarkStart w:id="102" w:name="_Toc13680"/>
      <w:bookmarkStart w:id="103" w:name="_Toc19405"/>
      <w:bookmarkStart w:id="104" w:name="_Toc31517"/>
      <w:bookmarkStart w:id="105" w:name="_Toc19569"/>
      <w:bookmarkStart w:id="106" w:name="_Toc2378"/>
      <w:bookmarkStart w:id="107" w:name="_Toc6556"/>
      <w:bookmarkStart w:id="108" w:name="_Toc16367"/>
      <w:bookmarkStart w:id="109" w:name="_Toc24237"/>
      <w:r>
        <w:rPr>
          <w:rFonts w:hint="eastAsia" w:ascii="仿宋" w:hAnsi="仿宋" w:eastAsia="仿宋" w:cs="仿宋"/>
          <w:color w:val="auto"/>
        </w:rPr>
        <w:t>（2）现场踏勘</w:t>
      </w:r>
      <w:bookmarkEnd w:id="100"/>
      <w:bookmarkEnd w:id="101"/>
      <w:bookmarkEnd w:id="102"/>
      <w:bookmarkEnd w:id="103"/>
      <w:bookmarkEnd w:id="104"/>
      <w:bookmarkEnd w:id="105"/>
      <w:bookmarkEnd w:id="106"/>
      <w:bookmarkEnd w:id="107"/>
      <w:bookmarkEnd w:id="108"/>
      <w:bookmarkEnd w:id="109"/>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color w:val="auto"/>
        </w:rPr>
      </w:pPr>
      <w:r>
        <w:rPr>
          <w:rFonts w:hint="eastAsia" w:ascii="仿宋" w:hAnsi="仿宋" w:eastAsia="仿宋" w:cs="仿宋"/>
          <w:color w:val="auto"/>
          <w:lang w:val="en-US" w:eastAsia="zh-CN"/>
        </w:rPr>
        <w:t>本次调查</w:t>
      </w:r>
      <w:r>
        <w:rPr>
          <w:rFonts w:hint="eastAsia" w:ascii="仿宋" w:hAnsi="仿宋" w:eastAsia="仿宋" w:cs="仿宋"/>
          <w:color w:val="auto"/>
        </w:rPr>
        <w:t>现场踏勘</w:t>
      </w:r>
      <w:r>
        <w:rPr>
          <w:rFonts w:hint="eastAsia" w:ascii="仿宋" w:hAnsi="仿宋" w:eastAsia="仿宋" w:cs="仿宋"/>
          <w:color w:val="auto"/>
          <w:lang w:val="en-US" w:eastAsia="zh-CN"/>
        </w:rPr>
        <w:t>均</w:t>
      </w:r>
      <w:r>
        <w:rPr>
          <w:rFonts w:hint="eastAsia" w:ascii="仿宋" w:hAnsi="仿宋" w:eastAsia="仿宋" w:cs="仿宋"/>
          <w:color w:val="auto"/>
        </w:rPr>
        <w:t>做</w:t>
      </w:r>
      <w:r>
        <w:rPr>
          <w:rFonts w:hint="eastAsia" w:ascii="仿宋" w:hAnsi="仿宋" w:eastAsia="仿宋" w:cs="仿宋"/>
          <w:color w:val="auto"/>
          <w:lang w:val="en-US" w:eastAsia="zh-CN"/>
        </w:rPr>
        <w:t>了</w:t>
      </w:r>
      <w:r>
        <w:rPr>
          <w:rFonts w:hint="eastAsia" w:ascii="仿宋" w:hAnsi="仿宋" w:eastAsia="仿宋" w:cs="仿宋"/>
          <w:color w:val="auto"/>
        </w:rPr>
        <w:t>相应的安全防护，踏勘范围以地块内为主，了解地块的现状与历史情况，相邻地块的现状与历史情况，周围区域的现状与历史情况，区域的地质、水文地质和地形的描述等，分析潜在的污染区域范围。</w:t>
      </w:r>
    </w:p>
    <w:p>
      <w:pPr>
        <w:bidi w:val="0"/>
        <w:rPr>
          <w:rFonts w:hint="eastAsia" w:ascii="仿宋" w:hAnsi="仿宋" w:eastAsia="仿宋" w:cs="仿宋"/>
          <w:color w:val="auto"/>
        </w:rPr>
      </w:pPr>
      <w:bookmarkStart w:id="110" w:name="_Toc12726"/>
      <w:bookmarkStart w:id="111" w:name="_Toc12249"/>
      <w:bookmarkStart w:id="112" w:name="_Toc8192"/>
      <w:bookmarkStart w:id="113" w:name="_Toc8428"/>
      <w:bookmarkStart w:id="114" w:name="_Toc18865"/>
      <w:bookmarkStart w:id="115" w:name="_Toc26083"/>
      <w:bookmarkStart w:id="116" w:name="_Toc250"/>
      <w:bookmarkStart w:id="117" w:name="_Toc25985"/>
      <w:bookmarkStart w:id="118" w:name="_Toc27259"/>
      <w:bookmarkStart w:id="119" w:name="_Toc11773"/>
      <w:r>
        <w:rPr>
          <w:rFonts w:hint="eastAsia" w:ascii="仿宋" w:hAnsi="仿宋" w:eastAsia="仿宋" w:cs="仿宋"/>
          <w:color w:val="auto"/>
        </w:rPr>
        <w:t>（3）人员访谈</w:t>
      </w:r>
      <w:bookmarkEnd w:id="110"/>
      <w:bookmarkEnd w:id="111"/>
      <w:bookmarkEnd w:id="112"/>
      <w:bookmarkEnd w:id="113"/>
      <w:bookmarkEnd w:id="114"/>
      <w:bookmarkEnd w:id="115"/>
      <w:bookmarkEnd w:id="116"/>
      <w:bookmarkEnd w:id="117"/>
      <w:bookmarkEnd w:id="118"/>
      <w:bookmarkEnd w:id="119"/>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color w:val="auto"/>
        </w:rPr>
      </w:pPr>
      <w:r>
        <w:rPr>
          <w:rFonts w:hint="eastAsia" w:ascii="仿宋" w:hAnsi="仿宋" w:eastAsia="仿宋" w:cs="仿宋"/>
          <w:color w:val="auto"/>
          <w:lang w:val="en-US" w:eastAsia="zh-CN"/>
        </w:rPr>
        <w:t>本次调查</w:t>
      </w:r>
      <w:r>
        <w:rPr>
          <w:rFonts w:hint="eastAsia" w:ascii="仿宋" w:hAnsi="仿宋" w:eastAsia="仿宋" w:cs="仿宋"/>
          <w:color w:val="auto"/>
        </w:rPr>
        <w:t>通过对</w:t>
      </w:r>
      <w:r>
        <w:rPr>
          <w:rFonts w:hint="eastAsia" w:ascii="仿宋" w:hAnsi="仿宋" w:eastAsia="仿宋" w:cs="仿宋"/>
          <w:color w:val="auto"/>
          <w:lang w:val="en-US" w:eastAsia="zh-CN"/>
        </w:rPr>
        <w:t>熟悉</w:t>
      </w:r>
      <w:r>
        <w:rPr>
          <w:rFonts w:hint="eastAsia" w:ascii="仿宋" w:hAnsi="仿宋" w:eastAsia="仿宋" w:cs="仿宋"/>
          <w:color w:val="auto"/>
        </w:rPr>
        <w:t>地块现状和历史的知情人进行访谈，对资料收集和现场踏勘所涉及的疑问，</w:t>
      </w:r>
      <w:r>
        <w:rPr>
          <w:rFonts w:hint="eastAsia" w:ascii="仿宋" w:hAnsi="仿宋" w:eastAsia="仿宋" w:cs="仿宋"/>
          <w:color w:val="auto"/>
          <w:lang w:val="en-US" w:eastAsia="zh-CN"/>
        </w:rPr>
        <w:t>进行</w:t>
      </w:r>
      <w:r>
        <w:rPr>
          <w:rFonts w:hint="eastAsia" w:ascii="仿宋" w:hAnsi="仿宋" w:eastAsia="仿宋" w:cs="仿宋"/>
          <w:color w:val="auto"/>
        </w:rPr>
        <w:t>信息补充和考证已有资料。</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color w:val="auto"/>
        </w:rPr>
      </w:pPr>
      <w:r>
        <w:rPr>
          <w:rFonts w:hint="eastAsia" w:ascii="仿宋" w:hAnsi="仿宋" w:eastAsia="仿宋" w:cs="仿宋"/>
          <w:color w:val="auto"/>
        </w:rPr>
        <w:t>本阶段调查结论</w:t>
      </w:r>
      <w:r>
        <w:rPr>
          <w:rFonts w:hint="eastAsia" w:ascii="仿宋" w:hAnsi="仿宋" w:eastAsia="仿宋" w:cs="仿宋"/>
          <w:color w:val="auto"/>
          <w:lang w:val="en-US" w:eastAsia="zh-CN"/>
        </w:rPr>
        <w:t>中</w:t>
      </w:r>
      <w:r>
        <w:rPr>
          <w:rFonts w:hint="eastAsia" w:ascii="仿宋" w:hAnsi="仿宋" w:eastAsia="仿宋" w:cs="仿宋"/>
          <w:color w:val="auto"/>
        </w:rPr>
        <w:t>明确</w:t>
      </w:r>
      <w:r>
        <w:rPr>
          <w:rFonts w:hint="eastAsia" w:ascii="仿宋" w:hAnsi="仿宋" w:eastAsia="仿宋" w:cs="仿宋"/>
          <w:color w:val="auto"/>
          <w:lang w:val="en-US" w:eastAsia="zh-CN"/>
        </w:rPr>
        <w:t>了</w:t>
      </w:r>
      <w:r>
        <w:rPr>
          <w:rFonts w:hint="eastAsia" w:ascii="仿宋" w:hAnsi="仿宋" w:eastAsia="仿宋" w:cs="仿宋"/>
          <w:color w:val="auto"/>
        </w:rPr>
        <w:t>地块内及周围区域有无可能的污染源，并进行不确定性分析。若有可能的污染源，说明可能的污染类型、污染状况和来源，并提出第二阶段土壤污染状况调查的建议。</w:t>
      </w:r>
    </w:p>
    <w:p>
      <w:pPr>
        <w:bidi w:val="0"/>
        <w:rPr>
          <w:rFonts w:hint="eastAsia" w:ascii="仿宋" w:hAnsi="仿宋" w:eastAsia="仿宋" w:cs="仿宋"/>
          <w:color w:val="auto"/>
        </w:rPr>
      </w:pPr>
      <w:bookmarkStart w:id="120" w:name="_Toc26479"/>
      <w:bookmarkStart w:id="121" w:name="_Toc558"/>
      <w:bookmarkStart w:id="122" w:name="_Toc6597"/>
      <w:bookmarkStart w:id="123" w:name="_Toc30506"/>
      <w:bookmarkStart w:id="124" w:name="_Toc11481"/>
      <w:bookmarkStart w:id="125" w:name="_Toc22990"/>
      <w:bookmarkStart w:id="126" w:name="_Toc17516"/>
      <w:bookmarkStart w:id="127" w:name="_Toc7091"/>
      <w:bookmarkStart w:id="128" w:name="_Toc705"/>
      <w:bookmarkStart w:id="129" w:name="_Toc4395"/>
      <w:r>
        <w:rPr>
          <w:rFonts w:hint="eastAsia" w:ascii="仿宋" w:hAnsi="仿宋" w:eastAsia="仿宋" w:cs="仿宋"/>
          <w:color w:val="auto"/>
        </w:rPr>
        <w:t>（4）制定采样分析方案</w:t>
      </w:r>
      <w:bookmarkEnd w:id="120"/>
      <w:bookmarkEnd w:id="121"/>
      <w:bookmarkEnd w:id="122"/>
      <w:bookmarkEnd w:id="123"/>
      <w:bookmarkEnd w:id="124"/>
      <w:bookmarkEnd w:id="125"/>
      <w:bookmarkEnd w:id="126"/>
      <w:bookmarkEnd w:id="127"/>
      <w:bookmarkEnd w:id="128"/>
      <w:bookmarkEnd w:id="129"/>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color w:val="auto"/>
        </w:rPr>
      </w:pPr>
      <w:r>
        <w:rPr>
          <w:rFonts w:hint="eastAsia" w:ascii="仿宋" w:hAnsi="仿宋" w:eastAsia="仿宋" w:cs="仿宋"/>
          <w:color w:val="auto"/>
        </w:rPr>
        <w:t>根据污染来源的可能性和地块历史变迁资料以及现场踏勘情况，导则要求，制定针对地块的具体工作方案。包括核查已有信息、制定初步监测采样方案、制定健康和安全防护措施、制定样品分析方案、制定质量保证和质量控制等工作内容。</w:t>
      </w:r>
    </w:p>
    <w:p>
      <w:pPr>
        <w:bidi w:val="0"/>
        <w:rPr>
          <w:rFonts w:hint="eastAsia" w:ascii="仿宋" w:hAnsi="仿宋" w:eastAsia="仿宋" w:cs="仿宋"/>
          <w:color w:val="auto"/>
        </w:rPr>
      </w:pPr>
      <w:bookmarkStart w:id="130" w:name="_Toc16805"/>
      <w:bookmarkStart w:id="131" w:name="_Toc31558"/>
      <w:bookmarkStart w:id="132" w:name="_Toc18957"/>
      <w:bookmarkStart w:id="133" w:name="_Toc21486"/>
      <w:bookmarkStart w:id="134" w:name="_Toc12286"/>
      <w:bookmarkStart w:id="135" w:name="_Toc9466"/>
      <w:bookmarkStart w:id="136" w:name="_Toc16066"/>
      <w:bookmarkStart w:id="137" w:name="_Toc22952"/>
      <w:bookmarkStart w:id="138" w:name="_Toc31579"/>
      <w:bookmarkStart w:id="139" w:name="_Toc14794"/>
      <w:r>
        <w:rPr>
          <w:rFonts w:hint="eastAsia" w:ascii="仿宋" w:hAnsi="仿宋" w:eastAsia="仿宋" w:cs="仿宋"/>
          <w:color w:val="auto"/>
        </w:rPr>
        <w:t>（5）现场采样和实验室分析</w:t>
      </w:r>
      <w:bookmarkEnd w:id="130"/>
      <w:bookmarkEnd w:id="131"/>
      <w:bookmarkEnd w:id="132"/>
      <w:bookmarkEnd w:id="133"/>
      <w:bookmarkEnd w:id="134"/>
      <w:bookmarkEnd w:id="135"/>
      <w:bookmarkEnd w:id="136"/>
      <w:bookmarkEnd w:id="137"/>
      <w:bookmarkEnd w:id="138"/>
      <w:bookmarkEnd w:id="139"/>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color w:val="auto"/>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r>
        <w:rPr>
          <w:rFonts w:hint="eastAsia" w:ascii="仿宋" w:hAnsi="仿宋" w:eastAsia="仿宋" w:cs="仿宋"/>
          <w:color w:val="auto"/>
        </w:rPr>
        <w:t>依据采样方案进行现场钻探取样工作，样品由委托的实验室负责采样和分析，依据实验室数据和现场实际生产情况，分析现场污染状况，得出地块是否存在污染的结论，并提出可行性建议。</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outlineLvl w:val="0"/>
        <w:rPr>
          <w:rFonts w:hint="eastAsia" w:ascii="仿宋" w:hAnsi="仿宋" w:eastAsia="仿宋" w:cs="仿宋"/>
          <w:b/>
          <w:bCs w:val="0"/>
          <w:color w:val="auto"/>
          <w:kern w:val="0"/>
          <w:sz w:val="36"/>
          <w:szCs w:val="36"/>
          <w:lang w:val="en-US" w:eastAsia="zh-CN" w:bidi="zh-CN"/>
        </w:rPr>
      </w:pPr>
      <w:bookmarkStart w:id="140" w:name="_Toc4192"/>
      <w:bookmarkStart w:id="141" w:name="_Toc22142"/>
      <w:bookmarkStart w:id="142" w:name="_Toc12195"/>
      <w:bookmarkStart w:id="143" w:name="_Toc12098"/>
      <w:bookmarkStart w:id="144" w:name="_Toc4791"/>
      <w:r>
        <w:rPr>
          <w:rFonts w:hint="eastAsia" w:ascii="仿宋" w:hAnsi="仿宋" w:eastAsia="仿宋" w:cs="仿宋"/>
          <w:b/>
          <w:bCs w:val="0"/>
          <w:color w:val="auto"/>
          <w:kern w:val="0"/>
          <w:sz w:val="36"/>
          <w:szCs w:val="36"/>
          <w:lang w:val="en-US" w:eastAsia="zh-CN" w:bidi="zh-CN"/>
        </w:rPr>
        <w:t>9  结论和建议</w:t>
      </w:r>
      <w:bookmarkEnd w:id="140"/>
      <w:bookmarkEnd w:id="141"/>
      <w:bookmarkEnd w:id="142"/>
      <w:bookmarkEnd w:id="143"/>
      <w:bookmarkEnd w:id="144"/>
    </w:p>
    <w:p>
      <w:pPr>
        <w:pStyle w:val="5"/>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0" w:firstLineChars="0"/>
        <w:textAlignment w:val="auto"/>
        <w:outlineLvl w:val="1"/>
        <w:rPr>
          <w:rFonts w:hint="eastAsia" w:ascii="仿宋" w:hAnsi="仿宋" w:eastAsia="仿宋" w:cs="仿宋"/>
          <w:b/>
          <w:bCs w:val="0"/>
          <w:color w:val="auto"/>
          <w:sz w:val="28"/>
          <w:szCs w:val="28"/>
          <w:lang w:val="en-US" w:eastAsia="zh-CN"/>
        </w:rPr>
      </w:pPr>
      <w:bookmarkStart w:id="145" w:name="_Toc9364"/>
      <w:bookmarkStart w:id="146" w:name="_Toc27408"/>
      <w:bookmarkStart w:id="147" w:name="_Toc30069"/>
      <w:bookmarkStart w:id="148" w:name="_Toc32211"/>
      <w:r>
        <w:rPr>
          <w:rFonts w:hint="eastAsia" w:ascii="仿宋" w:hAnsi="仿宋" w:eastAsia="仿宋" w:cs="仿宋"/>
          <w:b/>
          <w:bCs w:val="0"/>
          <w:color w:val="auto"/>
          <w:sz w:val="28"/>
          <w:szCs w:val="28"/>
          <w:lang w:val="en-US" w:eastAsia="zh-CN"/>
        </w:rPr>
        <w:t>9.1 结论</w:t>
      </w:r>
      <w:bookmarkEnd w:id="145"/>
      <w:bookmarkEnd w:id="146"/>
      <w:bookmarkEnd w:id="147"/>
      <w:bookmarkEnd w:id="148"/>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kern w:val="2"/>
          <w:sz w:val="24"/>
          <w:szCs w:val="21"/>
          <w:lang w:val="en-US" w:eastAsia="zh-CN" w:bidi="ar-SA"/>
        </w:rPr>
        <w:t>（1）</w:t>
      </w:r>
      <w:r>
        <w:rPr>
          <w:rFonts w:hint="eastAsia" w:ascii="仿宋" w:hAnsi="仿宋" w:eastAsia="仿宋" w:cs="仿宋"/>
          <w:color w:val="auto"/>
          <w:lang w:val="en-US" w:eastAsia="zh-CN"/>
        </w:rPr>
        <w:t>本次土壤污染状况调查</w:t>
      </w:r>
      <w:r>
        <w:rPr>
          <w:rFonts w:hint="default" w:ascii="Times New Roman" w:hAnsi="Times New Roman" w:eastAsia="仿宋" w:cs="Times New Roman"/>
          <w:color w:val="auto"/>
          <w:sz w:val="24"/>
          <w:szCs w:val="24"/>
          <w:lang w:val="en-US" w:eastAsia="zh-CN"/>
        </w:rPr>
        <w:t>共布设</w:t>
      </w:r>
      <w:r>
        <w:rPr>
          <w:rFonts w:hint="eastAsia" w:eastAsia="仿宋" w:cs="Times New Roman"/>
          <w:color w:val="auto"/>
          <w:sz w:val="24"/>
          <w:szCs w:val="24"/>
          <w:lang w:val="en-US" w:eastAsia="zh-CN"/>
        </w:rPr>
        <w:t>18</w:t>
      </w:r>
      <w:r>
        <w:rPr>
          <w:rFonts w:hint="default" w:ascii="Times New Roman" w:hAnsi="Times New Roman" w:eastAsia="仿宋" w:cs="Times New Roman"/>
          <w:color w:val="auto"/>
          <w:sz w:val="24"/>
          <w:szCs w:val="24"/>
          <w:lang w:val="en-US" w:eastAsia="zh-CN"/>
        </w:rPr>
        <w:t>个土壤采样点位（包含一个土壤对照采样点）</w:t>
      </w:r>
      <w:r>
        <w:rPr>
          <w:rFonts w:hint="eastAsia" w:ascii="仿宋" w:hAnsi="仿宋" w:eastAsia="仿宋" w:cs="仿宋"/>
          <w:color w:val="auto"/>
          <w:lang w:val="en-US" w:eastAsia="zh-CN"/>
        </w:rPr>
        <w:t>，</w:t>
      </w:r>
      <w:r>
        <w:rPr>
          <w:rFonts w:hint="eastAsia" w:ascii="Times New Roman" w:hAnsi="Times New Roman" w:eastAsia="仿宋" w:cs="Times New Roman"/>
          <w:color w:val="auto"/>
          <w:kern w:val="2"/>
          <w:sz w:val="24"/>
          <w:szCs w:val="20"/>
          <w:lang w:val="en-US" w:eastAsia="zh-CN" w:bidi="ar-SA"/>
        </w:rPr>
        <w:t>土壤点位采样深度为6m</w:t>
      </w:r>
      <w:r>
        <w:rPr>
          <w:rFonts w:hint="eastAsia" w:ascii="仿宋" w:hAnsi="仿宋" w:eastAsia="仿宋" w:cs="仿宋"/>
          <w:color w:val="auto"/>
          <w:lang w:val="en-US" w:eastAsia="zh-CN"/>
        </w:rPr>
        <w:t>，</w:t>
      </w:r>
      <w:r>
        <w:rPr>
          <w:rFonts w:hint="default" w:ascii="Times New Roman" w:hAnsi="Times New Roman" w:eastAsia="仿宋" w:cs="Times New Roman"/>
          <w:color w:val="auto"/>
          <w:sz w:val="24"/>
          <w:szCs w:val="24"/>
          <w:lang w:val="en-US" w:eastAsia="zh-CN"/>
        </w:rPr>
        <w:t>共送检</w:t>
      </w:r>
      <w:r>
        <w:rPr>
          <w:rFonts w:hint="eastAsia" w:eastAsia="仿宋" w:cs="Times New Roman"/>
          <w:color w:val="auto"/>
          <w:sz w:val="24"/>
          <w:szCs w:val="24"/>
          <w:lang w:val="en-US" w:eastAsia="zh-CN"/>
        </w:rPr>
        <w:t>81</w:t>
      </w:r>
      <w:r>
        <w:rPr>
          <w:rFonts w:hint="default" w:ascii="Times New Roman" w:hAnsi="Times New Roman" w:eastAsia="仿宋" w:cs="Times New Roman"/>
          <w:color w:val="auto"/>
          <w:szCs w:val="18"/>
          <w:lang w:val="en-US" w:eastAsia="zh-CN"/>
        </w:rPr>
        <w:t>个土壤样品（包括</w:t>
      </w:r>
      <w:r>
        <w:rPr>
          <w:rFonts w:hint="eastAsia" w:eastAsia="仿宋" w:cs="Times New Roman"/>
          <w:color w:val="auto"/>
          <w:szCs w:val="18"/>
          <w:lang w:val="en-US" w:eastAsia="zh-CN"/>
        </w:rPr>
        <w:t>4</w:t>
      </w:r>
      <w:r>
        <w:rPr>
          <w:rFonts w:hint="default" w:ascii="Times New Roman" w:hAnsi="Times New Roman" w:eastAsia="仿宋" w:cs="Times New Roman"/>
          <w:color w:val="auto"/>
          <w:szCs w:val="18"/>
          <w:lang w:val="en-US" w:eastAsia="zh-CN"/>
        </w:rPr>
        <w:t>个对照土样品，</w:t>
      </w:r>
      <w:r>
        <w:rPr>
          <w:rFonts w:hint="eastAsia" w:eastAsia="仿宋" w:cs="Times New Roman"/>
          <w:color w:val="auto"/>
          <w:szCs w:val="18"/>
          <w:lang w:val="en-US" w:eastAsia="zh-CN"/>
        </w:rPr>
        <w:t>9</w:t>
      </w:r>
      <w:r>
        <w:rPr>
          <w:rFonts w:hint="default" w:ascii="Times New Roman" w:hAnsi="Times New Roman" w:eastAsia="仿宋" w:cs="Times New Roman"/>
          <w:color w:val="auto"/>
          <w:szCs w:val="18"/>
          <w:lang w:val="en-US" w:eastAsia="zh-CN"/>
        </w:rPr>
        <w:t>个平行样）</w:t>
      </w:r>
      <w:r>
        <w:rPr>
          <w:rFonts w:hint="eastAsia" w:ascii="仿宋" w:hAnsi="仿宋" w:eastAsia="仿宋" w:cs="仿宋"/>
          <w:color w:val="auto"/>
          <w:lang w:val="en-US" w:eastAsia="zh-CN"/>
        </w:rPr>
        <w:t>。共布设9个地下水监测井（包含一个地下水对照采样点），采集11个地下水样品（包含2个平行样）。土壤检测项目为：</w:t>
      </w:r>
      <w:r>
        <w:rPr>
          <w:rFonts w:hint="eastAsia" w:ascii="仿宋" w:hAnsi="仿宋" w:eastAsia="仿宋" w:cs="仿宋"/>
          <w:color w:val="auto"/>
          <w:sz w:val="24"/>
          <w:szCs w:val="24"/>
        </w:rPr>
        <w:t>pH值、</w:t>
      </w:r>
      <w:r>
        <w:rPr>
          <w:rFonts w:hint="eastAsia" w:ascii="仿宋" w:hAnsi="仿宋" w:eastAsia="仿宋" w:cs="仿宋"/>
          <w:color w:val="auto"/>
          <w:sz w:val="24"/>
          <w:szCs w:val="24"/>
          <w:lang w:val="en-US" w:eastAsia="zh-CN"/>
        </w:rPr>
        <w:t>CB36600中表1基本项目45项、</w:t>
      </w:r>
      <w:r>
        <w:rPr>
          <w:rFonts w:hint="eastAsia" w:ascii="仿宋" w:hAnsi="仿宋" w:eastAsia="仿宋" w:cs="仿宋"/>
          <w:color w:val="auto"/>
          <w:sz w:val="24"/>
          <w:szCs w:val="24"/>
          <w:vertAlign w:val="baseline"/>
          <w:lang w:val="en-US" w:eastAsia="zh-CN"/>
        </w:rPr>
        <w:t>氨氮、硫化物、氟化物、氯化物、氰化物、硫酸盐、硝酸盐、亚硝酸盐、石油烃（C</w:t>
      </w:r>
      <w:r>
        <w:rPr>
          <w:rFonts w:hint="eastAsia" w:ascii="仿宋" w:hAnsi="仿宋" w:eastAsia="仿宋" w:cs="仿宋"/>
          <w:color w:val="auto"/>
          <w:sz w:val="24"/>
          <w:szCs w:val="24"/>
          <w:vertAlign w:val="subscript"/>
          <w:lang w:val="en-US" w:eastAsia="zh-CN"/>
        </w:rPr>
        <w:t>10</w:t>
      </w:r>
      <w:r>
        <w:rPr>
          <w:rFonts w:hint="eastAsia" w:ascii="仿宋" w:hAnsi="仿宋" w:eastAsia="仿宋" w:cs="仿宋"/>
          <w:color w:val="auto"/>
          <w:sz w:val="24"/>
          <w:szCs w:val="24"/>
          <w:vertAlign w:val="baseline"/>
          <w:lang w:val="en-US" w:eastAsia="zh-CN"/>
        </w:rPr>
        <w:t>-C</w:t>
      </w:r>
      <w:r>
        <w:rPr>
          <w:rFonts w:hint="eastAsia" w:ascii="仿宋" w:hAnsi="仿宋" w:eastAsia="仿宋" w:cs="仿宋"/>
          <w:color w:val="auto"/>
          <w:sz w:val="24"/>
          <w:szCs w:val="24"/>
          <w:vertAlign w:val="subscript"/>
          <w:lang w:val="en-US" w:eastAsia="zh-CN"/>
        </w:rPr>
        <w:t>40</w:t>
      </w:r>
      <w:r>
        <w:rPr>
          <w:rFonts w:hint="eastAsia" w:ascii="仿宋" w:hAnsi="仿宋" w:eastAsia="仿宋" w:cs="仿宋"/>
          <w:color w:val="auto"/>
          <w:sz w:val="24"/>
          <w:szCs w:val="24"/>
          <w:vertAlign w:val="baseline"/>
          <w:lang w:val="en-US" w:eastAsia="zh-CN"/>
        </w:rPr>
        <w:t>）、石油烃（C</w:t>
      </w:r>
      <w:r>
        <w:rPr>
          <w:rFonts w:hint="eastAsia" w:ascii="仿宋" w:hAnsi="仿宋" w:eastAsia="仿宋" w:cs="仿宋"/>
          <w:color w:val="auto"/>
          <w:sz w:val="24"/>
          <w:szCs w:val="24"/>
          <w:vertAlign w:val="subscript"/>
          <w:lang w:val="en-US" w:eastAsia="zh-CN"/>
        </w:rPr>
        <w:t>6</w:t>
      </w:r>
      <w:r>
        <w:rPr>
          <w:rFonts w:hint="eastAsia" w:ascii="仿宋" w:hAnsi="仿宋" w:eastAsia="仿宋" w:cs="仿宋"/>
          <w:color w:val="auto"/>
          <w:sz w:val="24"/>
          <w:szCs w:val="24"/>
          <w:vertAlign w:val="baseline"/>
          <w:lang w:val="en-US" w:eastAsia="zh-CN"/>
        </w:rPr>
        <w:t>-C</w:t>
      </w:r>
      <w:r>
        <w:rPr>
          <w:rFonts w:hint="eastAsia" w:ascii="仿宋" w:hAnsi="仿宋" w:eastAsia="仿宋" w:cs="仿宋"/>
          <w:color w:val="auto"/>
          <w:sz w:val="24"/>
          <w:szCs w:val="24"/>
          <w:vertAlign w:val="subscript"/>
          <w:lang w:val="en-US" w:eastAsia="zh-CN"/>
        </w:rPr>
        <w:t>9</w:t>
      </w:r>
      <w:r>
        <w:rPr>
          <w:rFonts w:hint="eastAsia" w:ascii="仿宋" w:hAnsi="仿宋" w:eastAsia="仿宋" w:cs="仿宋"/>
          <w:color w:val="auto"/>
          <w:sz w:val="24"/>
          <w:szCs w:val="24"/>
          <w:vertAlign w:val="baseline"/>
          <w:lang w:val="en-US" w:eastAsia="zh-CN"/>
        </w:rPr>
        <w:t>）、锑、锡、锌、硒、硼、丙酮、苯酚、甲醛、</w:t>
      </w:r>
      <w:r>
        <w:rPr>
          <w:rFonts w:hint="eastAsia" w:ascii="仿宋" w:hAnsi="仿宋" w:eastAsia="仿宋" w:cs="仿宋"/>
          <w:color w:val="auto"/>
          <w:sz w:val="24"/>
          <w:szCs w:val="24"/>
          <w:lang w:val="en-US" w:eastAsia="zh-CN"/>
        </w:rPr>
        <w:t>甲醇</w:t>
      </w:r>
      <w:r>
        <w:rPr>
          <w:rFonts w:hint="eastAsia" w:ascii="仿宋" w:hAnsi="仿宋" w:eastAsia="仿宋" w:cs="仿宋"/>
          <w:color w:val="auto"/>
          <w:sz w:val="24"/>
          <w:szCs w:val="24"/>
          <w:vertAlign w:val="baseline"/>
          <w:lang w:val="en-US" w:eastAsia="zh-CN"/>
        </w:rPr>
        <w:t>、丙烯酸乙酯、甲基叔丁基醚、</w:t>
      </w:r>
      <w:r>
        <w:rPr>
          <w:rFonts w:hint="eastAsia" w:ascii="仿宋" w:hAnsi="仿宋" w:eastAsia="仿宋" w:cs="仿宋"/>
          <w:b w:val="0"/>
          <w:bCs w:val="0"/>
          <w:color w:val="auto"/>
          <w:kern w:val="2"/>
          <w:sz w:val="24"/>
          <w:szCs w:val="24"/>
          <w:lang w:val="en-US" w:eastAsia="zh-CN" w:bidi="ar-SA"/>
        </w:rPr>
        <w:t>二甲基甲酰胺、三氯苯（1，2,3三氯苯、1,2,4三氯苯）</w:t>
      </w:r>
      <w:r>
        <w:rPr>
          <w:rFonts w:hint="eastAsia" w:ascii="仿宋" w:hAnsi="仿宋" w:eastAsia="仿宋" w:cs="仿宋"/>
          <w:color w:val="auto"/>
          <w:sz w:val="24"/>
          <w:szCs w:val="24"/>
          <w:vertAlign w:val="baseline"/>
          <w:lang w:val="en-US" w:eastAsia="zh-CN"/>
        </w:rPr>
        <w:t>、三溴甲烷、</w:t>
      </w:r>
      <w:r>
        <w:rPr>
          <w:rFonts w:hint="eastAsia" w:ascii="仿宋" w:hAnsi="仿宋" w:eastAsia="仿宋" w:cs="仿宋"/>
          <w:b w:val="0"/>
          <w:bCs w:val="0"/>
          <w:color w:val="auto"/>
          <w:kern w:val="2"/>
          <w:sz w:val="24"/>
          <w:szCs w:val="24"/>
          <w:lang w:val="en-US" w:eastAsia="zh-CN" w:bidi="ar-SA"/>
        </w:rPr>
        <w:t>邻苯二酚、三乙胺、</w:t>
      </w:r>
      <w:r>
        <w:rPr>
          <w:rFonts w:hint="eastAsia" w:ascii="仿宋" w:hAnsi="仿宋" w:eastAsia="仿宋" w:cs="仿宋"/>
          <w:color w:val="auto"/>
          <w:sz w:val="24"/>
          <w:szCs w:val="24"/>
          <w:vertAlign w:val="baseline"/>
          <w:lang w:val="en-US" w:eastAsia="zh-CN"/>
        </w:rPr>
        <w:t>苯胺类及联苯胺类（2-萘胺、联苯胺、2-甲氧基苯胺、2,6-二甲基苯胺、4-甲基苯胺、2-甲基苯胺、2,4-二甲基苯胺、3-氯苯胺、3,3-二氯联苯胺、4-氯苯胺、4-硝基苯胺、3-硝基苯胺、3-甲基苯胺、N-亚硝基二苯胺）。</w:t>
      </w:r>
    </w:p>
    <w:p>
      <w:pPr>
        <w:keepNext w:val="0"/>
        <w:keepLines w:val="0"/>
        <w:pageBreakBefore w:val="0"/>
        <w:widowControl w:val="0"/>
        <w:kinsoku/>
        <w:wordWrap/>
        <w:overflowPunct/>
        <w:topLinePunct w:val="0"/>
        <w:autoSpaceDE/>
        <w:autoSpaceDN/>
        <w:bidi w:val="0"/>
        <w:adjustRightInd/>
        <w:snapToGrid/>
        <w:textAlignment w:val="auto"/>
        <w:rPr>
          <w:rFonts w:hint="default" w:ascii="仿宋" w:hAnsi="仿宋" w:eastAsia="仿宋" w:cs="仿宋"/>
          <w:color w:val="auto"/>
          <w:kern w:val="2"/>
          <w:sz w:val="24"/>
          <w:szCs w:val="21"/>
          <w:lang w:val="en-US" w:eastAsia="zh-CN" w:bidi="ar-SA"/>
        </w:rPr>
      </w:pPr>
      <w:r>
        <w:rPr>
          <w:rFonts w:hint="eastAsia" w:ascii="仿宋" w:hAnsi="仿宋" w:eastAsia="仿宋" w:cs="仿宋"/>
          <w:color w:val="auto"/>
          <w:kern w:val="2"/>
          <w:sz w:val="24"/>
          <w:szCs w:val="20"/>
          <w:lang w:val="en-US" w:eastAsia="zh-CN" w:bidi="ar-SA"/>
        </w:rPr>
        <w:t>地下水</w:t>
      </w:r>
      <w:r>
        <w:rPr>
          <w:rFonts w:hint="eastAsia" w:ascii="仿宋" w:hAnsi="仿宋" w:eastAsia="仿宋" w:cs="仿宋"/>
          <w:color w:val="auto"/>
          <w:lang w:val="en-US" w:eastAsia="zh-CN"/>
        </w:rPr>
        <w:t>监测项目为：</w:t>
      </w:r>
      <w:r>
        <w:rPr>
          <w:rFonts w:hint="eastAsia" w:ascii="仿宋" w:hAnsi="仿宋" w:eastAsia="仿宋" w:cs="仿宋"/>
          <w:color w:val="auto"/>
          <w:szCs w:val="21"/>
          <w:lang w:val="en-US" w:eastAsia="zh-CN"/>
        </w:rPr>
        <w:t>pH、GB36660中表1基本项目45项、色度、氨氮、硫化物、氯化物、硫酸盐、耗氧量、硝酸盐、亚硝酸盐、氟化物、挥发酚、阴离子表面活性剂、嗅和味、浑浊度、肉眼可见物、总硬度、溶解性总固体、铁、锰、铝、钠、氰化物、碘化物、石油烃（C</w:t>
      </w:r>
      <w:r>
        <w:rPr>
          <w:rFonts w:hint="eastAsia" w:ascii="仿宋" w:hAnsi="仿宋" w:eastAsia="仿宋" w:cs="仿宋"/>
          <w:color w:val="auto"/>
          <w:szCs w:val="21"/>
          <w:vertAlign w:val="subscript"/>
          <w:lang w:val="en-US" w:eastAsia="zh-CN"/>
        </w:rPr>
        <w:t>10</w:t>
      </w:r>
      <w:r>
        <w:rPr>
          <w:rFonts w:hint="eastAsia" w:ascii="仿宋" w:hAnsi="仿宋" w:eastAsia="仿宋" w:cs="仿宋"/>
          <w:color w:val="auto"/>
          <w:szCs w:val="21"/>
          <w:lang w:val="en-US" w:eastAsia="zh-CN"/>
        </w:rPr>
        <w:t>-C</w:t>
      </w:r>
      <w:r>
        <w:rPr>
          <w:rFonts w:hint="eastAsia" w:ascii="仿宋" w:hAnsi="仿宋" w:eastAsia="仿宋" w:cs="仿宋"/>
          <w:color w:val="auto"/>
          <w:szCs w:val="21"/>
          <w:vertAlign w:val="subscript"/>
          <w:lang w:val="en-US" w:eastAsia="zh-CN"/>
        </w:rPr>
        <w:t>40</w:t>
      </w:r>
      <w:r>
        <w:rPr>
          <w:rFonts w:hint="eastAsia" w:ascii="仿宋" w:hAnsi="仿宋" w:eastAsia="仿宋" w:cs="仿宋"/>
          <w:color w:val="auto"/>
          <w:szCs w:val="21"/>
          <w:lang w:val="en-US" w:eastAsia="zh-CN"/>
        </w:rPr>
        <w:t>）、石油烃（C</w:t>
      </w:r>
      <w:r>
        <w:rPr>
          <w:rFonts w:hint="eastAsia" w:ascii="仿宋" w:hAnsi="仿宋" w:eastAsia="仿宋" w:cs="仿宋"/>
          <w:color w:val="auto"/>
          <w:szCs w:val="21"/>
          <w:vertAlign w:val="subscript"/>
          <w:lang w:val="en-US" w:eastAsia="zh-CN"/>
        </w:rPr>
        <w:t>6</w:t>
      </w:r>
      <w:r>
        <w:rPr>
          <w:rFonts w:hint="eastAsia" w:ascii="仿宋" w:hAnsi="仿宋" w:eastAsia="仿宋" w:cs="仿宋"/>
          <w:color w:val="auto"/>
          <w:szCs w:val="21"/>
          <w:lang w:val="en-US" w:eastAsia="zh-CN"/>
        </w:rPr>
        <w:t>-C</w:t>
      </w:r>
      <w:r>
        <w:rPr>
          <w:rFonts w:hint="eastAsia" w:ascii="仿宋" w:hAnsi="仿宋" w:eastAsia="仿宋" w:cs="仿宋"/>
          <w:color w:val="auto"/>
          <w:szCs w:val="21"/>
          <w:vertAlign w:val="subscript"/>
          <w:lang w:val="en-US" w:eastAsia="zh-CN"/>
        </w:rPr>
        <w:t>9</w:t>
      </w:r>
      <w:r>
        <w:rPr>
          <w:rFonts w:hint="eastAsia" w:ascii="仿宋" w:hAnsi="仿宋" w:eastAsia="仿宋" w:cs="仿宋"/>
          <w:color w:val="auto"/>
          <w:szCs w:val="21"/>
          <w:lang w:val="en-US" w:eastAsia="zh-CN"/>
        </w:rPr>
        <w:t>）、锑、锡、锌、硒、硼、丙酮、苯酚、甲醛、甲醇、丙烯酸乙酯、甲基叔丁基醚、二甲基甲酰胺、1，2,3三氯苯、1,2,4三氯苯、三溴甲烷、邻苯二酚、三乙胺、可吸附有机卤素、苯胺类及联苯胺类（2-萘胺、联苯胺、2-甲氧基苯胺、2,6-二甲基苯胺、4-甲基苯胺、2-甲基苯胺、2,4-二甲基苯胺、3-氯苯胺、3,3-二氯联苯胺、4-氯苯胺、4-硝基苯胺、3-硝基苯胺）。</w:t>
      </w:r>
    </w:p>
    <w:p>
      <w:pPr>
        <w:pStyle w:val="5"/>
        <w:keepNext w:val="0"/>
        <w:keepLines w:val="0"/>
        <w:pageBreakBefore w:val="0"/>
        <w:widowControl w:val="0"/>
        <w:kinsoku/>
        <w:wordWrap/>
        <w:overflowPunct/>
        <w:topLinePunct w:val="0"/>
        <w:autoSpaceDE/>
        <w:autoSpaceDN/>
        <w:bidi w:val="0"/>
        <w:adjustRightInd/>
        <w:snapToGrid/>
        <w:spacing w:after="0" w:afterLines="0"/>
        <w:ind w:firstLine="480" w:firstLineChars="200"/>
        <w:textAlignment w:val="auto"/>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（2）土壤样品分析：</w:t>
      </w:r>
      <w:r>
        <w:rPr>
          <w:rFonts w:hint="eastAsia" w:ascii="仿宋" w:hAnsi="仿宋" w:eastAsia="仿宋" w:cs="仿宋"/>
          <w:color w:val="auto"/>
          <w:sz w:val="24"/>
          <w:szCs w:val="24"/>
        </w:rPr>
        <w:t>土壤各指标均未超过《土壤环境质量建设用地土壤污染风险管控标准（试行）》（GB36600-2018）、《深圳市建设用地土壤污染风险筛选值和管制值（DB4403_T67-2020）》、《河北省建设用地土壤污染风险筛选值(</w:t>
      </w:r>
      <w:r>
        <w:rPr>
          <w:rFonts w:hint="eastAsia" w:ascii="仿宋" w:hAnsi="仿宋" w:eastAsia="仿宋" w:cs="仿宋"/>
          <w:color w:val="auto"/>
          <w:sz w:val="24"/>
          <w:szCs w:val="24"/>
          <w:lang w:eastAsia="zh-CN"/>
        </w:rPr>
        <w:t>DB13/T5216-2020</w:t>
      </w:r>
      <w:r>
        <w:rPr>
          <w:rFonts w:hint="eastAsia" w:ascii="仿宋" w:hAnsi="仿宋" w:eastAsia="仿宋" w:cs="仿宋"/>
          <w:color w:val="auto"/>
          <w:sz w:val="24"/>
          <w:szCs w:val="24"/>
        </w:rPr>
        <w:t>）》、《黑龙江省土壤污染防治风险筛选指导值（试行）》（DB23/T3314-2022）</w:t>
      </w:r>
      <w:r>
        <w:rPr>
          <w:rFonts w:hint="eastAsia"/>
          <w:lang w:eastAsia="zh-CN"/>
        </w:rPr>
        <w:t>、</w:t>
      </w:r>
      <w:r>
        <w:rPr>
          <w:rFonts w:hint="eastAsia" w:ascii="仿宋" w:hAnsi="仿宋" w:eastAsia="仿宋" w:cs="仿宋"/>
          <w:color w:val="auto"/>
          <w:szCs w:val="24"/>
        </w:rPr>
        <w:t>《江苏省 建设用地土壤污染风险筛选值（DB32/T 4712-2024）》</w:t>
      </w:r>
      <w:r>
        <w:rPr>
          <w:rFonts w:hint="eastAsia" w:ascii="仿宋" w:hAnsi="仿宋" w:eastAsia="仿宋" w:cs="仿宋"/>
          <w:color w:val="auto"/>
          <w:sz w:val="24"/>
          <w:szCs w:val="24"/>
        </w:rPr>
        <w:t>中</w:t>
      </w:r>
      <w:r>
        <w:rPr>
          <w:rFonts w:hint="eastAsia" w:ascii="仿宋" w:hAnsi="仿宋" w:eastAsia="仿宋" w:cs="仿宋"/>
          <w:color w:val="auto"/>
          <w:sz w:val="24"/>
          <w:szCs w:val="24"/>
          <w:lang w:eastAsia="zh-CN"/>
        </w:rPr>
        <w:t>第</w:t>
      </w:r>
      <w:r>
        <w:rPr>
          <w:rFonts w:hint="eastAsia" w:ascii="仿宋" w:hAnsi="仿宋" w:eastAsia="仿宋" w:cs="仿宋"/>
          <w:color w:val="auto"/>
          <w:sz w:val="24"/>
          <w:szCs w:val="24"/>
          <w:lang w:val="en-US" w:eastAsia="zh-CN"/>
        </w:rPr>
        <w:t>一</w:t>
      </w:r>
      <w:r>
        <w:rPr>
          <w:rFonts w:hint="eastAsia" w:ascii="仿宋" w:hAnsi="仿宋" w:eastAsia="仿宋" w:cs="仿宋"/>
          <w:color w:val="auto"/>
          <w:sz w:val="24"/>
          <w:szCs w:val="24"/>
          <w:lang w:eastAsia="zh-CN"/>
        </w:rPr>
        <w:t>类</w:t>
      </w:r>
      <w:r>
        <w:rPr>
          <w:rFonts w:hint="eastAsia" w:ascii="仿宋" w:hAnsi="仿宋" w:eastAsia="仿宋" w:cs="仿宋"/>
          <w:color w:val="auto"/>
          <w:sz w:val="24"/>
          <w:szCs w:val="24"/>
          <w:lang w:val="en-US" w:eastAsia="zh-CN"/>
        </w:rPr>
        <w:t>用地</w:t>
      </w:r>
      <w:r>
        <w:rPr>
          <w:rFonts w:hint="eastAsia" w:ascii="仿宋" w:hAnsi="仿宋" w:eastAsia="仿宋" w:cs="仿宋"/>
          <w:color w:val="auto"/>
          <w:sz w:val="24"/>
          <w:szCs w:val="24"/>
          <w:lang w:eastAsia="zh-CN"/>
        </w:rPr>
        <w:t>筛选值</w:t>
      </w:r>
      <w:r>
        <w:rPr>
          <w:rFonts w:hint="eastAsia" w:ascii="仿宋" w:hAnsi="仿宋" w:eastAsia="仿宋" w:cs="仿宋"/>
          <w:color w:val="auto"/>
          <w:sz w:val="24"/>
          <w:szCs w:val="24"/>
          <w:lang w:val="en-US" w:eastAsia="zh-CN"/>
        </w:rPr>
        <w:t>标准及《污染场地风险评估电子表格》计算出的风险控制值结果</w:t>
      </w:r>
      <w:r>
        <w:rPr>
          <w:rFonts w:hint="eastAsia" w:ascii="Times New Roman" w:hAnsi="Times New Roman" w:eastAsia="仿宋" w:cs="Times New Roman"/>
          <w:color w:val="auto"/>
          <w:sz w:val="24"/>
          <w:szCs w:val="24"/>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480" w:firstLineChars="200"/>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color w:val="auto"/>
          <w:szCs w:val="21"/>
          <w:lang w:val="en-US" w:eastAsia="zh-CN"/>
        </w:rPr>
        <w:t>（3）地下水样品分析：</w:t>
      </w:r>
      <w:r>
        <w:rPr>
          <w:rFonts w:hint="eastAsia" w:ascii="仿宋" w:hAnsi="仿宋" w:eastAsia="仿宋" w:cs="仿宋"/>
          <w:b w:val="0"/>
          <w:bCs w:val="0"/>
          <w:color w:val="auto"/>
          <w:kern w:val="2"/>
          <w:sz w:val="24"/>
          <w:szCs w:val="24"/>
          <w:highlight w:val="none"/>
          <w:lang w:val="en-US" w:eastAsia="zh-CN" w:bidi="ar-SA"/>
        </w:rPr>
        <w:t>除色度、总硬度、溶解性总固体、硫酸根、耗氧量、氨氮、硝酸根指标，其余检出指标均符合《地下水质量标准》（GB/T 14848-2017）中IV类水标准及《上海市建设用地土壤污染状况调查、风险评估、风险管控与修复方案编制、风险管控与修复效果评估工作的补充规定（试行）》（沪环土[2020]62号）第一类用地筛选值标准</w:t>
      </w:r>
      <w:r>
        <w:rPr>
          <w:rFonts w:hint="eastAsia" w:ascii="仿宋" w:hAnsi="仿宋" w:eastAsia="仿宋" w:cs="仿宋"/>
          <w:color w:val="auto"/>
          <w:kern w:val="2"/>
          <w:sz w:val="24"/>
          <w:szCs w:val="20"/>
          <w:lang w:val="en-US" w:eastAsia="zh-CN" w:bidi="ar-SA"/>
        </w:rPr>
        <w:t>。</w:t>
      </w:r>
      <w:r>
        <w:rPr>
          <w:rFonts w:hint="eastAsia" w:ascii="仿宋" w:hAnsi="仿宋" w:eastAsia="仿宋" w:cs="仿宋"/>
          <w:b w:val="0"/>
          <w:bCs w:val="0"/>
          <w:color w:val="auto"/>
          <w:kern w:val="2"/>
          <w:sz w:val="24"/>
          <w:szCs w:val="24"/>
          <w:highlight w:val="none"/>
          <w:lang w:val="en-US" w:eastAsia="zh-CN" w:bidi="ar-SA"/>
        </w:rPr>
        <w:t>色度、总硬度、溶解性总固体、硫酸根、耗氧量、氨氮超标，其中硫酸根、耗氧量、氨氮为本次调查地块的特征因子，超标原因可能为地块内及周边生产活动的长期影响，但均为常规化学指标且环境风险较低，无需进行进一步调查。硝酸盐不是</w:t>
      </w:r>
      <w:r>
        <w:rPr>
          <w:rFonts w:hint="default" w:ascii="Times New Roman" w:hAnsi="Times New Roman" w:eastAsia="仿宋" w:cs="Times New Roman"/>
          <w:color w:val="auto"/>
          <w:szCs w:val="21"/>
          <w:lang w:val="en-US" w:eastAsia="zh-CN"/>
        </w:rPr>
        <w:t>本次调查地块</w:t>
      </w:r>
      <w:r>
        <w:rPr>
          <w:rFonts w:hint="eastAsia" w:ascii="Times New Roman" w:hAnsi="Times New Roman" w:eastAsia="仿宋" w:cs="Times New Roman"/>
          <w:color w:val="auto"/>
          <w:szCs w:val="21"/>
          <w:lang w:val="en-US" w:eastAsia="zh-CN"/>
        </w:rPr>
        <w:t>内</w:t>
      </w:r>
      <w:r>
        <w:rPr>
          <w:rFonts w:hint="default" w:ascii="Times New Roman" w:hAnsi="Times New Roman" w:eastAsia="仿宋" w:cs="Times New Roman"/>
          <w:color w:val="auto"/>
          <w:szCs w:val="21"/>
          <w:lang w:val="en-US" w:eastAsia="zh-CN"/>
        </w:rPr>
        <w:t>的特征因子，</w:t>
      </w:r>
      <w:r>
        <w:rPr>
          <w:rFonts w:hint="eastAsia" w:ascii="Times New Roman" w:hAnsi="Times New Roman" w:eastAsia="仿宋" w:cs="Times New Roman"/>
          <w:color w:val="auto"/>
          <w:szCs w:val="21"/>
          <w:lang w:val="en-US" w:eastAsia="zh-CN"/>
        </w:rPr>
        <w:t>根据GB/T-14848-2017，硝酸盐为毒理性指标。</w:t>
      </w:r>
      <w:r>
        <w:rPr>
          <w:rFonts w:hint="eastAsia" w:ascii="仿宋" w:hAnsi="仿宋" w:eastAsia="仿宋" w:cs="仿宋"/>
          <w:b w:val="0"/>
          <w:bCs w:val="0"/>
          <w:color w:val="auto"/>
          <w:kern w:val="2"/>
          <w:sz w:val="24"/>
          <w:szCs w:val="24"/>
          <w:highlight w:val="none"/>
          <w:lang w:val="en-US" w:eastAsia="zh-CN" w:bidi="ar-SA"/>
        </w:rPr>
        <w:t>超标点位为D1，超标倍数为7.1，超标原因可能由于地块西侧最近企业如皋市绢纺厂原辅材料滴漏等原因导致。以上超标污染物均不属于重点管控的土壤有毒有害物质，且根据《建设用地土壤污染风险评估技术导则》（HJ25.3-2019），污染物无暴露途径，对人体健康风险可接受，无需进行进一步调查。</w:t>
      </w:r>
    </w:p>
    <w:p>
      <w:pPr>
        <w:pStyle w:val="5"/>
        <w:keepNext w:val="0"/>
        <w:keepLines w:val="0"/>
        <w:pageBreakBefore w:val="0"/>
        <w:widowControl w:val="0"/>
        <w:kinsoku/>
        <w:wordWrap/>
        <w:overflowPunct/>
        <w:topLinePunct w:val="0"/>
        <w:autoSpaceDE/>
        <w:autoSpaceDN/>
        <w:bidi w:val="0"/>
        <w:adjustRightInd/>
        <w:snapToGrid/>
        <w:spacing w:after="0" w:afterLines="0"/>
        <w:textAlignment w:val="auto"/>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4）结论：综合以上结果，该地块监测因子达到标准要求，该地块不属于污染地块，无需进行进一步调查。地块符合《土壤环境质量建设用地土壤污染风险管控标准（试行）》（GB36600-2018）中第一类筛选值要求，可规划为居住用地、道路用地用途使用。</w:t>
      </w:r>
    </w:p>
    <w:p>
      <w:pPr>
        <w:pStyle w:val="5"/>
        <w:keepNext w:val="0"/>
        <w:keepLines w:val="0"/>
        <w:pageBreakBefore w:val="0"/>
        <w:kinsoku/>
        <w:wordWrap/>
        <w:overflowPunct/>
        <w:topLinePunct w:val="0"/>
        <w:autoSpaceDE/>
        <w:autoSpaceDN/>
        <w:bidi w:val="0"/>
        <w:adjustRightInd/>
        <w:snapToGrid/>
        <w:spacing w:after="0" w:afterLines="0" w:line="360" w:lineRule="auto"/>
        <w:ind w:left="0" w:leftChars="0" w:firstLine="0" w:firstLineChars="0"/>
        <w:textAlignment w:val="auto"/>
        <w:outlineLvl w:val="1"/>
        <w:rPr>
          <w:rFonts w:hint="eastAsia" w:ascii="仿宋" w:hAnsi="仿宋" w:eastAsia="仿宋" w:cs="仿宋"/>
          <w:b/>
          <w:bCs w:val="0"/>
          <w:color w:val="auto"/>
          <w:sz w:val="28"/>
          <w:szCs w:val="28"/>
          <w:lang w:val="en-US" w:eastAsia="zh-CN"/>
        </w:rPr>
      </w:pPr>
      <w:bookmarkStart w:id="149" w:name="_Toc6481"/>
      <w:bookmarkStart w:id="150" w:name="_Toc11948"/>
      <w:bookmarkStart w:id="151" w:name="_Toc10722"/>
      <w:bookmarkStart w:id="152" w:name="_Toc10972"/>
      <w:r>
        <w:rPr>
          <w:rFonts w:hint="eastAsia" w:ascii="仿宋" w:hAnsi="仿宋" w:eastAsia="仿宋" w:cs="仿宋"/>
          <w:b/>
          <w:bCs w:val="0"/>
          <w:color w:val="auto"/>
          <w:sz w:val="28"/>
          <w:szCs w:val="28"/>
          <w:lang w:val="en-US" w:eastAsia="zh-CN"/>
        </w:rPr>
        <w:t>9.2 建议</w:t>
      </w:r>
      <w:bookmarkEnd w:id="149"/>
      <w:bookmarkEnd w:id="150"/>
      <w:bookmarkEnd w:id="151"/>
      <w:bookmarkEnd w:id="152"/>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color w:val="auto"/>
        </w:rPr>
      </w:pPr>
      <w:r>
        <w:rPr>
          <w:rFonts w:hint="eastAsia" w:ascii="仿宋" w:hAnsi="仿宋" w:eastAsia="仿宋" w:cs="仿宋"/>
          <w:color w:val="auto"/>
        </w:rPr>
        <w:t>后续地块再开发利用工作时，应该遵循相关环境保护规程，保护环境和人体健康，避免产生土壤和地下水污染。结合上述调查结论，建议通过以下手段进行风险管控：</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color w:val="auto"/>
        </w:rPr>
      </w:pPr>
      <w:r>
        <w:rPr>
          <w:rFonts w:hint="eastAsia" w:ascii="仿宋" w:hAnsi="仿宋" w:eastAsia="仿宋" w:cs="仿宋"/>
          <w:color w:val="auto"/>
        </w:rPr>
        <w:t>（1）本地块规划为</w:t>
      </w:r>
      <w:r>
        <w:rPr>
          <w:rFonts w:hint="eastAsia" w:ascii="仿宋" w:hAnsi="仿宋" w:eastAsia="仿宋" w:cs="仿宋"/>
          <w:color w:val="auto"/>
          <w:lang w:val="en-US" w:eastAsia="zh-CN"/>
        </w:rPr>
        <w:t>居住用地、道路用地</w:t>
      </w:r>
      <w:r>
        <w:rPr>
          <w:rFonts w:hint="eastAsia" w:ascii="仿宋" w:hAnsi="仿宋" w:eastAsia="仿宋" w:cs="仿宋"/>
          <w:color w:val="auto"/>
        </w:rPr>
        <w:t>，在下一步开发或建筑施工期间应保护地块不被外界人为环境污染。控制该地块保持现有的良好状态，杜绝地块在调查期与接下来再开发利用的监管真空，防止出现人为倾倒固废、偷排工业废水等现象。</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color w:val="auto"/>
        </w:rPr>
      </w:pPr>
      <w:r>
        <w:rPr>
          <w:rFonts w:hint="eastAsia" w:ascii="仿宋" w:hAnsi="仿宋" w:eastAsia="仿宋" w:cs="仿宋"/>
          <w:color w:val="auto"/>
        </w:rPr>
        <w:t>（2）开发时尽量避免人体直接接触土壤和地下水，尤其是地块涉及开挖等措施时，应加强人员的劳保防护，如佩戴口罩、手套和雨靴等。</w:t>
      </w:r>
    </w:p>
    <w:p>
      <w:pPr>
        <w:pStyle w:val="5"/>
        <w:keepNext w:val="0"/>
        <w:keepLines w:val="0"/>
        <w:pageBreakBefore w:val="0"/>
        <w:widowControl w:val="0"/>
        <w:kinsoku/>
        <w:wordWrap/>
        <w:overflowPunct/>
        <w:topLinePunct w:val="0"/>
        <w:autoSpaceDE/>
        <w:autoSpaceDN/>
        <w:bidi w:val="0"/>
        <w:adjustRightInd/>
        <w:snapToGrid/>
        <w:spacing w:after="0" w:afterLines="0"/>
        <w:textAlignment w:val="auto"/>
        <w:rPr>
          <w:rFonts w:hint="eastAsia"/>
          <w:lang w:val="en-US" w:eastAsia="zh-CN"/>
        </w:rPr>
      </w:pPr>
      <w:r>
        <w:rPr>
          <w:rFonts w:hint="eastAsia" w:ascii="仿宋" w:hAnsi="仿宋" w:eastAsia="仿宋" w:cs="仿宋"/>
          <w:color w:val="auto"/>
          <w:lang w:eastAsia="zh-CN"/>
        </w:rPr>
        <w:t>（</w:t>
      </w:r>
      <w:r>
        <w:rPr>
          <w:rFonts w:hint="eastAsia" w:ascii="仿宋" w:hAnsi="仿宋" w:eastAsia="仿宋" w:cs="仿宋"/>
          <w:color w:val="auto"/>
          <w:lang w:val="en-US" w:eastAsia="zh-CN"/>
        </w:rPr>
        <w:t>3</w:t>
      </w:r>
      <w:r>
        <w:rPr>
          <w:rFonts w:hint="eastAsia" w:ascii="仿宋" w:hAnsi="仿宋" w:eastAsia="仿宋" w:cs="仿宋"/>
          <w:color w:val="auto"/>
          <w:lang w:eastAsia="zh-CN"/>
        </w:rPr>
        <w:t>）</w:t>
      </w:r>
      <w:r>
        <w:rPr>
          <w:rFonts w:hint="eastAsia" w:ascii="仿宋" w:hAnsi="仿宋" w:eastAsia="仿宋" w:cs="仿宋"/>
          <w:color w:val="auto"/>
          <w:lang w:val="en-US" w:eastAsia="zh-CN"/>
        </w:rPr>
        <w:t>本次调查区域内地下水总体水质未达GB/T 14848-2017中</w:t>
      </w:r>
      <w:r>
        <w:rPr>
          <w:rFonts w:hint="eastAsia" w:ascii="仿宋" w:hAnsi="仿宋" w:eastAsia="仿宋" w:cs="仿宋"/>
          <w:color w:val="auto"/>
          <w:lang w:val="en-US" w:eastAsia="zh-CN"/>
        </w:rPr>
        <w:fldChar w:fldCharType="begin"/>
      </w:r>
      <w:r>
        <w:rPr>
          <w:rFonts w:hint="eastAsia" w:ascii="仿宋" w:hAnsi="仿宋" w:eastAsia="仿宋" w:cs="仿宋"/>
          <w:color w:val="auto"/>
          <w:lang w:val="en-US" w:eastAsia="zh-CN"/>
        </w:rPr>
        <w:instrText xml:space="preserve"> = 4 \* ROMAN \* MERGEFORMAT </w:instrText>
      </w:r>
      <w:r>
        <w:rPr>
          <w:rFonts w:hint="eastAsia" w:ascii="仿宋" w:hAnsi="仿宋" w:eastAsia="仿宋" w:cs="仿宋"/>
          <w:color w:val="auto"/>
          <w:lang w:val="en-US" w:eastAsia="zh-CN"/>
        </w:rPr>
        <w:fldChar w:fldCharType="separate"/>
      </w:r>
      <w:r>
        <w:rPr>
          <w:rFonts w:hint="eastAsia" w:ascii="仿宋" w:hAnsi="仿宋" w:eastAsia="仿宋" w:cs="仿宋"/>
          <w:color w:val="auto"/>
        </w:rPr>
        <w:t>IV</w:t>
      </w:r>
      <w:r>
        <w:rPr>
          <w:rFonts w:hint="eastAsia" w:ascii="仿宋" w:hAnsi="仿宋" w:eastAsia="仿宋" w:cs="仿宋"/>
          <w:color w:val="auto"/>
          <w:lang w:val="en-US" w:eastAsia="zh-CN"/>
        </w:rPr>
        <w:fldChar w:fldCharType="end"/>
      </w:r>
      <w:r>
        <w:rPr>
          <w:rFonts w:hint="eastAsia" w:ascii="仿宋" w:hAnsi="仿宋" w:eastAsia="仿宋" w:cs="仿宋"/>
          <w:color w:val="auto"/>
          <w:lang w:val="en-US" w:eastAsia="zh-CN"/>
        </w:rPr>
        <w:t>类水质标准，在地块的未来开发利用中禁止开发利用地下水。</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color w:val="auto"/>
          <w:lang w:val="en-US" w:eastAsia="zh-CN"/>
        </w:rPr>
      </w:pPr>
      <w:r>
        <w:rPr>
          <w:rFonts w:hint="eastAsia" w:ascii="仿宋" w:hAnsi="仿宋" w:eastAsia="仿宋" w:cs="仿宋"/>
          <w:color w:val="auto"/>
        </w:rPr>
        <w:t>地块开发建设阶段需对本地块土壤及建筑垃圾妥善处置，不可随意外运倾倒；注意做好建筑工人的安全防护。同时需做好地块管理工作，禁止外来土随意堆放</w:t>
      </w:r>
      <w:r>
        <w:rPr>
          <w:rFonts w:hint="eastAsia" w:ascii="仿宋" w:hAnsi="仿宋" w:eastAsia="仿宋" w:cs="仿宋"/>
          <w:color w:val="auto"/>
          <w:lang w:eastAsia="zh-CN"/>
        </w:rPr>
        <w:t>。</w:t>
      </w:r>
    </w:p>
    <w:p>
      <w:pPr>
        <w:ind w:left="0" w:leftChars="0" w:firstLine="0" w:firstLineChars="0"/>
        <w:rPr>
          <w:rFonts w:hint="eastAsia" w:ascii="仿宋" w:hAnsi="仿宋" w:eastAsia="仿宋" w:cs="仿宋"/>
          <w:color w:val="auto"/>
          <w:lang w:eastAsia="zh-CN"/>
        </w:rPr>
      </w:pPr>
      <w:bookmarkStart w:id="153" w:name="_GoBack"/>
      <w:bookmarkEnd w:id="153"/>
    </w:p>
    <w:sectPr>
      <w:headerReference r:id="rId12" w:type="default"/>
      <w:footerReference r:id="rId13"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8"/>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JL6ScgBAACZ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8cQ9aErS5TrQbg7Jmyi9JYrjLBTYZxYYTdtV16JP+8l6+mP2v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SS+knIAQAAmQMAAA4AAAAAAAAAAQAgAAAAHgEAAGRycy9lMm9Eb2Mu&#10;eG1sUEsFBgAAAAAGAAYAWQEAAFgFAAAAAA==&#10;">
              <v:path/>
              <v:fill on="f" focussize="0,0"/>
              <v:stroke on="f"/>
              <v:imagedata o:title=""/>
              <o:lock v:ext="edit" aspectratio="f"/>
              <v:textbox inset="0mm,0mm,0mm,0mm" style="mso-fit-shape-to-text:t;">
                <w:txbxContent>
                  <w:p>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autoSpaceDE w:val="0"/>
      <w:autoSpaceDN w:val="0"/>
      <w:spacing w:before="0" w:after="0" w:line="14" w:lineRule="auto"/>
      <w:ind w:left="0" w:right="0"/>
      <w:jc w:val="left"/>
      <w:rPr>
        <w:rFonts w:ascii="宋体" w:hAnsi="宋体" w:eastAsia="宋体" w:cs="宋体"/>
        <w:sz w:val="20"/>
        <w:szCs w:val="24"/>
        <w:lang w:val="zh-CN" w:eastAsia="zh-CN" w:bidi="zh-CN"/>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8"/>
                          </w:pPr>
                          <w:r>
                            <w:t xml:space="preserve">— </w:t>
                          </w:r>
                          <w:r>
                            <w:fldChar w:fldCharType="begin"/>
                          </w:r>
                          <w:r>
                            <w:instrText xml:space="preserve"> PAGE  \* MERGEFORMAT </w:instrText>
                          </w:r>
                          <w:r>
                            <w:fldChar w:fldCharType="separate"/>
                          </w:r>
                          <w:r>
                            <w:t>1</w:t>
                          </w:r>
                          <w:r>
                            <w:fldChar w:fldCharType="end"/>
                          </w:r>
                          <w: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UJskBAACZ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UX5QmyQEAAJkDAAAOAAAAAAAAAAEAIAAAAB4BAABkcnMvZTJvRG9j&#10;LnhtbFBLBQYAAAAABgAGAFkBAABZBQAAAAA=&#10;">
              <v:path/>
              <v:fill on="f" focussize="0,0"/>
              <v:stroke on="f"/>
              <v:imagedata o:title=""/>
              <o:lock v:ext="edit" aspectratio="f"/>
              <v:textbox inset="0mm,0mm,0mm,0mm" style="mso-fit-shape-to-text:t;">
                <w:txbxContent>
                  <w:p>
                    <w:pPr>
                      <w:pStyle w:val="8"/>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autoSpaceDE w:val="0"/>
      <w:autoSpaceDN w:val="0"/>
      <w:spacing w:before="0" w:after="0" w:line="14" w:lineRule="auto"/>
      <w:ind w:left="0" w:right="0"/>
      <w:jc w:val="left"/>
      <w:rPr>
        <w:rFonts w:ascii="宋体" w:hAnsi="宋体" w:eastAsia="宋体" w:cs="宋体"/>
        <w:sz w:val="20"/>
        <w:szCs w:val="24"/>
        <w:lang w:val="zh-CN" w:eastAsia="zh-CN" w:bidi="zh-CN"/>
      </w:rPr>
    </w:pPr>
    <w:r>
      <w:rPr>
        <w:sz w:val="20"/>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8"/>
                          </w:pPr>
                          <w:r>
                            <w:t xml:space="preserve">— </w:t>
                          </w:r>
                          <w:r>
                            <w:fldChar w:fldCharType="begin"/>
                          </w:r>
                          <w:r>
                            <w:instrText xml:space="preserve"> PAGE  \* MERGEFORMAT </w:instrText>
                          </w:r>
                          <w:r>
                            <w:fldChar w:fldCharType="separate"/>
                          </w:r>
                          <w:r>
                            <w:t>1</w:t>
                          </w:r>
                          <w:r>
                            <w:fldChar w:fldCharType="end"/>
                          </w:r>
                          <w: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pPr>
                      <w:pStyle w:val="8"/>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1"/>
      </w:pBdr>
      <w:ind w:left="0" w:leftChars="0" w:firstLine="0" w:firstLineChars="0"/>
      <w:jc w:val="center"/>
      <w:rPr>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single" w:color="auto" w:sz="4" w:space="1"/>
      </w:pBdr>
      <w:ind w:left="0" w:leftChars="0" w:firstLine="0" w:firstLineChars="0"/>
      <w:jc w:val="center"/>
      <w:rPr>
        <w:sz w:val="18"/>
        <w:szCs w:val="18"/>
      </w:rPr>
    </w:pPr>
    <w:r>
      <w:rPr>
        <w:rFonts w:hint="eastAsia" w:cs="Times New Roman"/>
        <w:sz w:val="18"/>
        <w:szCs w:val="18"/>
        <w:lang w:val="en-US" w:eastAsia="zh-CN"/>
      </w:rPr>
      <w:t>如皋城西片区一期桃源路东、广福路北（324# 、325# ）地块土壤污染状况</w:t>
    </w:r>
    <w:r>
      <w:rPr>
        <w:rFonts w:hint="default" w:ascii="Times New Roman" w:hAnsi="Times New Roman" w:eastAsia="宋体" w:cs="Times New Roman"/>
        <w:sz w:val="18"/>
        <w:szCs w:val="18"/>
        <w:lang w:val="en-US" w:eastAsia="zh-CN"/>
      </w:rPr>
      <w:t>调查报告</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1"/>
      </w:pBdr>
      <w:ind w:left="0" w:leftChars="0" w:firstLine="0" w:firstLineChars="0"/>
      <w:jc w:val="center"/>
      <w:rPr>
        <w:sz w:val="18"/>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single" w:color="auto" w:sz="4" w:space="1"/>
      </w:pBdr>
      <w:ind w:left="0" w:leftChars="0" w:firstLine="0" w:firstLineChars="0"/>
      <w:jc w:val="center"/>
      <w:rPr>
        <w:sz w:val="18"/>
        <w:szCs w:val="18"/>
      </w:rPr>
    </w:pPr>
    <w:r>
      <w:rPr>
        <w:rFonts w:hint="eastAsia" w:cs="Times New Roman"/>
        <w:sz w:val="18"/>
        <w:szCs w:val="18"/>
        <w:lang w:val="en-US" w:eastAsia="zh-CN"/>
      </w:rPr>
      <w:t>如皋城西片区一期桃源路东、广福路北（324# 、325# ）地块</w:t>
    </w:r>
    <w:r>
      <w:rPr>
        <w:rFonts w:hint="default" w:ascii="Times New Roman" w:hAnsi="Times New Roman" w:eastAsia="宋体" w:cs="Times New Roman"/>
        <w:sz w:val="18"/>
        <w:szCs w:val="18"/>
        <w:lang w:val="en-US" w:eastAsia="zh-CN"/>
      </w:rPr>
      <w:t>土壤污染状况调查报告</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single" w:color="auto" w:sz="4" w:space="1"/>
      </w:pBdr>
      <w:ind w:left="0" w:leftChars="0" w:firstLine="0" w:firstLineChars="0"/>
      <w:jc w:val="center"/>
      <w:rPr>
        <w:sz w:val="18"/>
        <w:szCs w:val="18"/>
      </w:rPr>
    </w:pPr>
    <w:r>
      <w:rPr>
        <w:rFonts w:hint="eastAsia" w:cs="Times New Roman"/>
        <w:sz w:val="18"/>
        <w:szCs w:val="18"/>
        <w:lang w:val="en-US" w:eastAsia="zh-CN"/>
      </w:rPr>
      <w:t>如皋城西片区一期桃源路东、广福路北（324# 、325# ）地块</w:t>
    </w:r>
    <w:r>
      <w:rPr>
        <w:rFonts w:hint="default" w:ascii="Times New Roman" w:hAnsi="Times New Roman" w:eastAsia="宋体" w:cs="Times New Roman"/>
        <w:sz w:val="18"/>
        <w:szCs w:val="18"/>
        <w:lang w:val="en-US" w:eastAsia="zh-CN"/>
      </w:rPr>
      <w:t>土壤污染状况调查报告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1B2D84"/>
    <w:multiLevelType w:val="singleLevel"/>
    <w:tmpl w:val="061B2D84"/>
    <w:lvl w:ilvl="0" w:tentative="0">
      <w:start w:val="3"/>
      <w:numFmt w:val="chineseCounting"/>
      <w:suff w:val="nothing"/>
      <w:lvlText w:val="%1、"/>
      <w:lvlJc w:val="left"/>
      <w:rPr>
        <w:rFonts w:hint="eastAsia"/>
      </w:rPr>
    </w:lvl>
  </w:abstractNum>
  <w:abstractNum w:abstractNumId="1">
    <w:nsid w:val="60872F7D"/>
    <w:multiLevelType w:val="multilevel"/>
    <w:tmpl w:val="60872F7D"/>
    <w:lvl w:ilvl="0" w:tentative="0">
      <w:start w:val="1"/>
      <w:numFmt w:val="decimal"/>
      <w:lvlText w:val="%1"/>
      <w:lvlJc w:val="left"/>
      <w:pPr>
        <w:ind w:left="432" w:hanging="432"/>
      </w:pPr>
      <w:rPr>
        <w:rFonts w:hint="default" w:ascii="Times New Roman" w:hAnsi="Times New Roman" w:eastAsia="宋体"/>
      </w:rPr>
    </w:lvl>
    <w:lvl w:ilvl="1" w:tentative="0">
      <w:start w:val="1"/>
      <w:numFmt w:val="decimal"/>
      <w:lvlText w:val="%1.%2"/>
      <w:lvlJc w:val="left"/>
      <w:pPr>
        <w:ind w:left="575" w:hanging="575"/>
      </w:pPr>
      <w:rPr>
        <w:rFonts w:hint="default" w:ascii="Times New Roman" w:hAnsi="Times New Roman" w:eastAsia="宋体"/>
      </w:rPr>
    </w:lvl>
    <w:lvl w:ilvl="2" w:tentative="0">
      <w:start w:val="1"/>
      <w:numFmt w:val="decimal"/>
      <w:pStyle w:val="2"/>
      <w:lvlText w:val="%1.%2.%3"/>
      <w:lvlJc w:val="left"/>
      <w:pPr>
        <w:ind w:left="720" w:hanging="720"/>
      </w:pPr>
      <w:rPr>
        <w:rFonts w:hint="default" w:ascii="Times New Roman" w:hAnsi="Times New Roman" w:eastAsia="宋体"/>
      </w:rPr>
    </w:lvl>
    <w:lvl w:ilvl="3" w:tentative="0">
      <w:start w:val="1"/>
      <w:numFmt w:val="decimal"/>
      <w:lvlText w:val="%1.%2.%3.%4"/>
      <w:lvlJc w:val="left"/>
      <w:pPr>
        <w:ind w:left="864" w:hanging="864"/>
      </w:pPr>
      <w:rPr>
        <w:rFonts w:hint="default" w:ascii="Times New Roman" w:hAnsi="Times New Roman" w:eastAsia="宋体"/>
      </w:rPr>
    </w:lvl>
    <w:lvl w:ilvl="4" w:tentative="0">
      <w:start w:val="1"/>
      <w:numFmt w:val="decimal"/>
      <w:lvlText w:val="%1.%2.%3.%4.%5."/>
      <w:lvlJc w:val="left"/>
      <w:pPr>
        <w:ind w:left="1008" w:hanging="1008"/>
      </w:pPr>
      <w:rPr>
        <w:rFonts w:hint="default"/>
      </w:rPr>
    </w:lvl>
    <w:lvl w:ilvl="5" w:tentative="0">
      <w:start w:val="1"/>
      <w:numFmt w:val="decimal"/>
      <w:lvlText w:val="%1.%2.%3.%4.%5.%6."/>
      <w:lvlJc w:val="left"/>
      <w:pPr>
        <w:ind w:left="1151" w:hanging="1151"/>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3" w:hanging="1583"/>
      </w:pPr>
      <w:rPr>
        <w:rFonts w:hint="default"/>
      </w:rPr>
    </w:lvl>
  </w:abstractNum>
  <w:abstractNum w:abstractNumId="2">
    <w:nsid w:val="6584A73E"/>
    <w:multiLevelType w:val="singleLevel"/>
    <w:tmpl w:val="6584A73E"/>
    <w:lvl w:ilvl="0" w:tentative="0">
      <w:start w:val="1"/>
      <w:numFmt w:val="bullet"/>
      <w:pStyle w:val="7"/>
      <w:lvlText w:val=""/>
      <w:lvlJc w:val="left"/>
      <w:pPr>
        <w:tabs>
          <w:tab w:val="left" w:pos="2040"/>
        </w:tabs>
        <w:ind w:left="2040" w:hanging="360"/>
      </w:pPr>
      <w:rPr>
        <w:rFonts w:hint="default" w:ascii="Wingdings" w:hAnsi="Wingdings"/>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liMDcwOTc5Njc1NmRlZDZmMGVmMDY1OWJhZjZiOWEifQ=="/>
  </w:docVars>
  <w:rsids>
    <w:rsidRoot w:val="67B812CA"/>
    <w:rsid w:val="29B6086B"/>
    <w:rsid w:val="46902F07"/>
    <w:rsid w:val="67B812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880" w:firstLineChars="200"/>
      <w:jc w:val="both"/>
    </w:pPr>
    <w:rPr>
      <w:rFonts w:ascii="Times New Roman" w:hAnsi="Times New Roman" w:eastAsia="宋体" w:cs="Times New Roman"/>
      <w:kern w:val="2"/>
      <w:sz w:val="24"/>
      <w:szCs w:val="20"/>
      <w:lang w:val="en-US" w:eastAsia="zh-CN" w:bidi="ar-SA"/>
    </w:rPr>
  </w:style>
  <w:style w:type="paragraph" w:styleId="2">
    <w:name w:val="heading 3"/>
    <w:basedOn w:val="1"/>
    <w:next w:val="3"/>
    <w:unhideWhenUsed/>
    <w:qFormat/>
    <w:uiPriority w:val="0"/>
    <w:pPr>
      <w:keepNext/>
      <w:keepLines/>
      <w:numPr>
        <w:ilvl w:val="2"/>
        <w:numId w:val="1"/>
      </w:numPr>
      <w:spacing w:before="260" w:beforeLines="0" w:beforeAutospacing="0" w:after="260" w:afterLines="0" w:afterAutospacing="0" w:line="360" w:lineRule="auto"/>
      <w:ind w:left="720" w:hanging="720" w:firstLineChars="0"/>
      <w:outlineLvl w:val="2"/>
    </w:pPr>
    <w:rPr>
      <w:rFonts w:ascii="Times New Roman" w:hAnsi="Times New Roman" w:eastAsia="宋体" w:cs="Times New Roman"/>
      <w:b/>
      <w:sz w:val="32"/>
      <w:szCs w:val="22"/>
    </w:rPr>
  </w:style>
  <w:style w:type="character" w:default="1" w:styleId="17">
    <w:name w:val="Default Paragraph Font"/>
    <w:autoRedefine/>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3">
    <w:name w:val="Normal Indent"/>
    <w:basedOn w:val="1"/>
    <w:next w:val="1"/>
    <w:qFormat/>
    <w:uiPriority w:val="0"/>
    <w:pPr>
      <w:ind w:firstLine="420"/>
    </w:pPr>
    <w:rPr>
      <w:szCs w:val="20"/>
    </w:rPr>
  </w:style>
  <w:style w:type="paragraph" w:styleId="4">
    <w:name w:val="annotation text"/>
    <w:basedOn w:val="1"/>
    <w:qFormat/>
    <w:uiPriority w:val="0"/>
    <w:pPr>
      <w:jc w:val="left"/>
    </w:pPr>
  </w:style>
  <w:style w:type="paragraph" w:styleId="5">
    <w:name w:val="Body Text"/>
    <w:basedOn w:val="1"/>
    <w:next w:val="1"/>
    <w:qFormat/>
    <w:uiPriority w:val="0"/>
    <w:pPr>
      <w:spacing w:after="120" w:afterLines="0" w:afterAutospacing="0"/>
    </w:pPr>
  </w:style>
  <w:style w:type="paragraph" w:styleId="6">
    <w:name w:val="Body Text Indent"/>
    <w:basedOn w:val="1"/>
    <w:next w:val="1"/>
    <w:qFormat/>
    <w:uiPriority w:val="0"/>
    <w:pPr>
      <w:spacing w:after="120" w:afterLines="0" w:afterAutospacing="0"/>
      <w:ind w:left="420" w:leftChars="200"/>
    </w:pPr>
  </w:style>
  <w:style w:type="paragraph" w:styleId="7">
    <w:name w:val="List Bullet 5"/>
    <w:basedOn w:val="1"/>
    <w:qFormat/>
    <w:uiPriority w:val="0"/>
    <w:pPr>
      <w:numPr>
        <w:ilvl w:val="0"/>
        <w:numId w:val="2"/>
      </w:numPr>
    </w:p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oc 1"/>
    <w:basedOn w:val="1"/>
    <w:next w:val="1"/>
    <w:qFormat/>
    <w:uiPriority w:val="0"/>
  </w:style>
  <w:style w:type="paragraph" w:styleId="11">
    <w:name w:val="toc 2"/>
    <w:basedOn w:val="1"/>
    <w:next w:val="1"/>
    <w:qFormat/>
    <w:uiPriority w:val="0"/>
    <w:pPr>
      <w:ind w:left="420" w:leftChars="200"/>
    </w:pPr>
  </w:style>
  <w:style w:type="paragraph" w:styleId="12">
    <w:name w:val="Normal (Web)"/>
    <w:basedOn w:val="1"/>
    <w:unhideWhenUsed/>
    <w:qFormat/>
    <w:uiPriority w:val="0"/>
    <w:pPr>
      <w:widowControl/>
      <w:spacing w:before="100" w:beforeAutospacing="1" w:after="100" w:afterAutospacing="1" w:line="240" w:lineRule="auto"/>
      <w:ind w:firstLine="0" w:firstLineChars="0"/>
      <w:jc w:val="left"/>
    </w:pPr>
    <w:rPr>
      <w:rFonts w:ascii="宋体" w:hAnsi="宋体" w:cs="宋体"/>
      <w:kern w:val="0"/>
      <w:sz w:val="24"/>
      <w:szCs w:val="24"/>
    </w:rPr>
  </w:style>
  <w:style w:type="paragraph" w:styleId="13">
    <w:name w:val="Body Text First Indent"/>
    <w:basedOn w:val="5"/>
    <w:qFormat/>
    <w:uiPriority w:val="0"/>
    <w:pPr>
      <w:ind w:firstLine="420" w:firstLineChars="100"/>
    </w:pPr>
  </w:style>
  <w:style w:type="paragraph" w:styleId="14">
    <w:name w:val="Body Text First Indent 2"/>
    <w:basedOn w:val="6"/>
    <w:next w:val="13"/>
    <w:qFormat/>
    <w:uiPriority w:val="0"/>
    <w:pPr>
      <w:ind w:left="0" w:leftChars="0" w:firstLine="420" w:firstLineChars="200"/>
      <w:jc w:val="center"/>
    </w:pPr>
    <w:rPr>
      <w:rFonts w:ascii="Times New Roman" w:hAnsi="Times New Roman"/>
      <w:sz w:val="24"/>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
    <w:name w:val="其他文本"/>
    <w:basedOn w:val="1"/>
    <w:autoRedefine/>
    <w:qFormat/>
    <w:uiPriority w:val="0"/>
    <w:pPr>
      <w:ind w:firstLine="0" w:firstLineChars="0"/>
      <w:jc w:val="center"/>
    </w:pPr>
    <w:rPr>
      <w:b/>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3.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5.emf"/><Relationship Id="rId2" Type="http://schemas.openxmlformats.org/officeDocument/2006/relationships/settings" Target="settings.xml"/><Relationship Id="rId19" Type="http://schemas.openxmlformats.org/officeDocument/2006/relationships/oleObject" Target="embeddings/oleObject1.bin"/><Relationship Id="rId18" Type="http://schemas.openxmlformats.org/officeDocument/2006/relationships/image" Target="media/image4.png"/><Relationship Id="rId17" Type="http://schemas.openxmlformats.org/officeDocument/2006/relationships/image" Target="media/image3.png"/><Relationship Id="rId16" Type="http://schemas.openxmlformats.org/officeDocument/2006/relationships/image" Target="media/image2.png"/><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4.xml"/><Relationship Id="rId12" Type="http://schemas.openxmlformats.org/officeDocument/2006/relationships/header" Target="header5.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25</Pages>
  <Words>11035</Words>
  <Characters>12857</Characters>
  <Lines>0</Lines>
  <Paragraphs>0</Paragraphs>
  <TotalTime>0</TotalTime>
  <ScaleCrop>false</ScaleCrop>
  <LinksUpToDate>false</LinksUpToDate>
  <CharactersWithSpaces>12947</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2024-04-15T02:34:00Z</dcterms:created>
  <dc:creator>一贫如喜羊羊</dc:creator>
  <cp:lastModifiedBy>柠檬</cp:lastModifiedBy>
  <dcterms:modified xsi:type="dcterms:W3CDTF">2024-07-10T06:58:15Z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1FEBAF43EC6A424C91FBE2753F601CA7_13</vt:lpwstr>
  </property>
</Properties>
</file>