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23DD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仿宋" w:cs="Times New Roman"/>
          <w:b/>
          <w:bCs/>
          <w:color w:val="auto"/>
          <w:sz w:val="52"/>
          <w:szCs w:val="52"/>
          <w:highlight w:val="none"/>
          <w:lang w:val="en-US" w:eastAsia="zh-CN"/>
        </w:rPr>
      </w:pPr>
    </w:p>
    <w:p w14:paraId="4C5DBE44">
      <w:pPr>
        <w:rPr>
          <w:rFonts w:hint="default" w:ascii="Times New Roman" w:hAnsi="Times New Roman" w:eastAsia="仿宋" w:cs="Times New Roman"/>
          <w:color w:val="auto"/>
          <w:lang w:val="en-US" w:eastAsia="zh-CN"/>
        </w:rPr>
      </w:pPr>
    </w:p>
    <w:p w14:paraId="1A140A6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b/>
          <w:bCs/>
          <w:color w:val="auto"/>
          <w:sz w:val="52"/>
          <w:szCs w:val="52"/>
          <w:highlight w:val="none"/>
          <w:lang w:val="en-US" w:eastAsia="zh-CN"/>
        </w:rPr>
      </w:pPr>
      <w:r>
        <w:rPr>
          <w:rFonts w:hint="default" w:ascii="Times New Roman" w:hAnsi="Times New Roman" w:eastAsia="仿宋" w:cs="Times New Roman"/>
          <w:b/>
          <w:bCs/>
          <w:color w:val="auto"/>
          <w:sz w:val="52"/>
          <w:szCs w:val="52"/>
          <w:highlight w:val="none"/>
          <w:lang w:val="en-US" w:eastAsia="zh-CN"/>
        </w:rPr>
        <w:t>南通市通州区十总小学篮球场地块</w:t>
      </w:r>
    </w:p>
    <w:p w14:paraId="704B52C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b/>
          <w:bCs/>
          <w:color w:val="auto"/>
          <w:sz w:val="52"/>
          <w:szCs w:val="52"/>
          <w:highlight w:val="none"/>
          <w:lang w:val="en-US" w:eastAsia="zh-CN"/>
        </w:rPr>
      </w:pPr>
      <w:r>
        <w:rPr>
          <w:rFonts w:hint="default" w:ascii="Times New Roman" w:hAnsi="Times New Roman" w:eastAsia="仿宋" w:cs="Times New Roman"/>
          <w:b/>
          <w:bCs/>
          <w:color w:val="auto"/>
          <w:sz w:val="52"/>
          <w:szCs w:val="52"/>
          <w:highlight w:val="none"/>
          <w:lang w:val="en-US" w:eastAsia="zh-CN"/>
        </w:rPr>
        <w:t>土壤污染状况调查报告</w:t>
      </w:r>
    </w:p>
    <w:p w14:paraId="7679790A">
      <w:pPr>
        <w:pStyle w:val="7"/>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b/>
          <w:bCs/>
          <w:color w:val="auto"/>
          <w:sz w:val="52"/>
          <w:szCs w:val="52"/>
          <w:highlight w:val="none"/>
          <w:lang w:val="en-US" w:eastAsia="zh-CN"/>
        </w:rPr>
        <w:t>（</w:t>
      </w:r>
      <w:r>
        <w:rPr>
          <w:rFonts w:hint="eastAsia" w:eastAsia="仿宋" w:cs="Times New Roman"/>
          <w:b/>
          <w:bCs/>
          <w:color w:val="auto"/>
          <w:sz w:val="52"/>
          <w:szCs w:val="52"/>
          <w:highlight w:val="none"/>
          <w:lang w:val="en-US" w:eastAsia="zh-CN"/>
        </w:rPr>
        <w:t>备案</w:t>
      </w:r>
      <w:r>
        <w:rPr>
          <w:rFonts w:hint="default" w:ascii="Times New Roman" w:hAnsi="Times New Roman" w:eastAsia="仿宋" w:cs="Times New Roman"/>
          <w:b/>
          <w:bCs/>
          <w:color w:val="auto"/>
          <w:sz w:val="52"/>
          <w:szCs w:val="52"/>
          <w:highlight w:val="none"/>
          <w:lang w:val="en-US" w:eastAsia="zh-CN"/>
        </w:rPr>
        <w:t>稿）</w:t>
      </w:r>
    </w:p>
    <w:p w14:paraId="52F766A3">
      <w:pPr>
        <w:pStyle w:val="7"/>
        <w:rPr>
          <w:rFonts w:hint="default" w:ascii="Times New Roman" w:hAnsi="Times New Roman" w:eastAsia="仿宋" w:cs="Times New Roman"/>
          <w:color w:val="auto"/>
          <w:lang w:val="en-US" w:eastAsia="zh-CN"/>
        </w:rPr>
      </w:pPr>
    </w:p>
    <w:p w14:paraId="3D2569F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仿宋" w:cs="Times New Roman"/>
          <w:b/>
          <w:bCs/>
          <w:color w:val="auto"/>
          <w:sz w:val="52"/>
          <w:szCs w:val="52"/>
          <w:highlight w:val="none"/>
          <w:lang w:val="en-US" w:eastAsia="zh-CN"/>
        </w:rPr>
      </w:pPr>
    </w:p>
    <w:p w14:paraId="7641A9B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仿宋" w:cs="Times New Roman"/>
          <w:b/>
          <w:bCs/>
          <w:color w:val="auto"/>
          <w:highlight w:val="none"/>
          <w:lang w:val="en-US" w:eastAsia="zh-CN"/>
        </w:rPr>
      </w:pPr>
    </w:p>
    <w:p w14:paraId="16238C3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仿宋" w:cs="Times New Roman"/>
          <w:b/>
          <w:bCs/>
          <w:color w:val="auto"/>
          <w:highlight w:val="none"/>
          <w:lang w:val="en-US" w:eastAsia="zh-CN"/>
        </w:rPr>
      </w:pPr>
    </w:p>
    <w:p w14:paraId="6F06C54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仿宋" w:cs="Times New Roman"/>
          <w:b/>
          <w:bCs/>
          <w:color w:val="auto"/>
          <w:highlight w:val="none"/>
          <w:lang w:val="en-US" w:eastAsia="zh-CN"/>
        </w:rPr>
      </w:pPr>
    </w:p>
    <w:p w14:paraId="1AF3514A">
      <w:pPr>
        <w:pStyle w:val="7"/>
        <w:rPr>
          <w:rFonts w:hint="default" w:ascii="Times New Roman" w:hAnsi="Times New Roman" w:eastAsia="仿宋" w:cs="Times New Roman"/>
          <w:color w:val="auto"/>
          <w:lang w:val="en-US" w:eastAsia="zh-CN"/>
        </w:rPr>
      </w:pPr>
    </w:p>
    <w:p w14:paraId="00309F3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仿宋" w:cs="Times New Roman"/>
          <w:b/>
          <w:bCs/>
          <w:color w:val="auto"/>
          <w:sz w:val="48"/>
          <w:szCs w:val="56"/>
          <w:highlight w:val="none"/>
          <w:u w:val="single"/>
          <w:lang w:val="en-US" w:eastAsia="zh-CN"/>
        </w:rPr>
      </w:pPr>
    </w:p>
    <w:p w14:paraId="4CE49E4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仿宋" w:cs="Times New Roman"/>
          <w:b/>
          <w:bCs/>
          <w:color w:val="auto"/>
          <w:sz w:val="48"/>
          <w:szCs w:val="56"/>
          <w:highlight w:val="none"/>
          <w:u w:val="single"/>
          <w:lang w:val="en-US" w:eastAsia="zh-CN"/>
        </w:rPr>
      </w:pPr>
    </w:p>
    <w:p w14:paraId="0AB4D74D">
      <w:pPr>
        <w:pStyle w:val="7"/>
        <w:rPr>
          <w:rFonts w:hint="default" w:ascii="Times New Roman" w:hAnsi="Times New Roman" w:eastAsia="仿宋" w:cs="Times New Roman"/>
          <w:b/>
          <w:bCs/>
          <w:color w:val="auto"/>
          <w:sz w:val="48"/>
          <w:szCs w:val="56"/>
          <w:highlight w:val="none"/>
          <w:u w:val="single"/>
          <w:lang w:val="en-US" w:eastAsia="zh-CN"/>
        </w:rPr>
      </w:pPr>
    </w:p>
    <w:p w14:paraId="0F2429FF">
      <w:pPr>
        <w:pStyle w:val="8"/>
        <w:widowControl w:val="0"/>
        <w:numPr>
          <w:ilvl w:val="0"/>
          <w:numId w:val="0"/>
        </w:numPr>
        <w:spacing w:line="360" w:lineRule="auto"/>
        <w:jc w:val="both"/>
        <w:rPr>
          <w:rFonts w:hint="default" w:ascii="Times New Roman" w:hAnsi="Times New Roman" w:eastAsia="仿宋" w:cs="Times New Roman"/>
          <w:b/>
          <w:bCs/>
          <w:color w:val="auto"/>
          <w:sz w:val="48"/>
          <w:szCs w:val="56"/>
          <w:highlight w:val="none"/>
          <w:u w:val="single"/>
          <w:lang w:val="en-US" w:eastAsia="zh-CN"/>
        </w:rPr>
      </w:pPr>
    </w:p>
    <w:p w14:paraId="79023DC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仿宋" w:cs="Times New Roman"/>
          <w:color w:val="auto"/>
          <w:highlight w:val="none"/>
          <w:lang w:val="en-US" w:eastAsia="zh-CN"/>
        </w:rPr>
      </w:pPr>
    </w:p>
    <w:p w14:paraId="47735D5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委托单位：</w:t>
      </w:r>
      <w:r>
        <w:rPr>
          <w:rFonts w:hint="eastAsia" w:ascii="Times New Roman" w:hAnsi="Times New Roman" w:eastAsia="仿宋" w:cs="Times New Roman"/>
          <w:b/>
          <w:bCs/>
          <w:color w:val="auto"/>
          <w:sz w:val="32"/>
          <w:szCs w:val="40"/>
          <w:highlight w:val="none"/>
          <w:lang w:val="en-US" w:eastAsia="zh-CN"/>
        </w:rPr>
        <w:t>南通市通州区十总镇人民政府</w:t>
      </w:r>
    </w:p>
    <w:p w14:paraId="05A557D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b/>
          <w:bCs/>
          <w:color w:val="auto"/>
          <w:sz w:val="32"/>
          <w:szCs w:val="40"/>
          <w:highlight w:val="none"/>
          <w:lang w:val="en-US" w:eastAsia="zh-CN"/>
        </w:rPr>
      </w:pPr>
      <w:r>
        <w:rPr>
          <w:rFonts w:hint="default" w:ascii="Times New Roman" w:hAnsi="Times New Roman" w:eastAsia="仿宋" w:cs="Times New Roman"/>
          <w:b/>
          <w:bCs/>
          <w:color w:val="auto"/>
          <w:sz w:val="32"/>
          <w:szCs w:val="40"/>
          <w:highlight w:val="none"/>
          <w:lang w:val="en-US" w:eastAsia="zh-CN"/>
        </w:rPr>
        <w:t>编制单位：江苏标普检测科技有限公司</w:t>
      </w:r>
    </w:p>
    <w:p w14:paraId="69350DB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仿宋" w:cs="Times New Roman"/>
          <w:color w:val="auto"/>
          <w:sz w:val="32"/>
          <w:szCs w:val="21"/>
          <w:highlight w:val="none"/>
        </w:rPr>
      </w:pPr>
      <w:r>
        <w:rPr>
          <w:rFonts w:hint="default" w:ascii="Times New Roman" w:hAnsi="Times New Roman" w:eastAsia="仿宋" w:cs="Times New Roman"/>
          <w:b/>
          <w:bCs/>
          <w:color w:val="auto"/>
          <w:sz w:val="32"/>
          <w:szCs w:val="40"/>
          <w:highlight w:val="none"/>
          <w:lang w:val="en-US" w:eastAsia="zh-CN"/>
        </w:rPr>
        <w:t>2024年</w:t>
      </w:r>
      <w:r>
        <w:rPr>
          <w:rFonts w:hint="eastAsia" w:eastAsia="仿宋" w:cs="Times New Roman"/>
          <w:b/>
          <w:bCs/>
          <w:color w:val="auto"/>
          <w:sz w:val="32"/>
          <w:szCs w:val="40"/>
          <w:highlight w:val="none"/>
          <w:lang w:val="en-US" w:eastAsia="zh-CN"/>
        </w:rPr>
        <w:t>6</w:t>
      </w:r>
      <w:r>
        <w:rPr>
          <w:rFonts w:hint="default" w:ascii="Times New Roman" w:hAnsi="Times New Roman" w:eastAsia="仿宋" w:cs="Times New Roman"/>
          <w:b/>
          <w:bCs/>
          <w:color w:val="auto"/>
          <w:sz w:val="32"/>
          <w:szCs w:val="40"/>
          <w:highlight w:val="none"/>
          <w:lang w:val="en-US" w:eastAsia="zh-CN"/>
        </w:rPr>
        <w:t>月</w:t>
      </w:r>
    </w:p>
    <w:p w14:paraId="6E2D2552">
      <w:pPr>
        <w:pStyle w:val="17"/>
        <w:rPr>
          <w:rFonts w:hint="default" w:ascii="Times New Roman" w:hAnsi="Times New Roman" w:eastAsia="仿宋" w:cs="Times New Roman"/>
          <w:b w:val="0"/>
          <w:bCs/>
          <w:color w:val="auto"/>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DCDF1B1">
      <w:pPr>
        <w:pStyle w:val="17"/>
        <w:rPr>
          <w:rFonts w:hint="default" w:ascii="Times New Roman" w:hAnsi="Times New Roman" w:eastAsia="仿宋" w:cs="Times New Roman"/>
          <w:b w:val="0"/>
          <w:bCs/>
          <w:color w:val="auto"/>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176BA56">
      <w:pPr>
        <w:pStyle w:val="17"/>
        <w:spacing w:line="720" w:lineRule="auto"/>
        <w:jc w:val="center"/>
        <w:rPr>
          <w:rFonts w:hint="default" w:ascii="Times New Roman" w:hAnsi="Times New Roman" w:eastAsia="仿宋" w:cs="Times New Roman"/>
          <w:b w:val="0"/>
          <w:bCs/>
          <w:color w:val="auto"/>
          <w:sz w:val="28"/>
          <w:szCs w:val="28"/>
          <w:lang w:eastAsia="zh-CN"/>
        </w:rPr>
      </w:pPr>
      <w:r>
        <w:rPr>
          <w:rFonts w:hint="default" w:ascii="Times New Roman" w:hAnsi="Times New Roman" w:eastAsia="仿宋" w:cs="Times New Roman"/>
          <w:color w:val="auto"/>
          <w:lang w:eastAsia="zh-CN"/>
        </w:rPr>
        <w:drawing>
          <wp:inline distT="0" distB="0" distL="114300" distR="114300">
            <wp:extent cx="4587240" cy="3201035"/>
            <wp:effectExtent l="0" t="0" r="3810" b="18415"/>
            <wp:docPr id="10" name="图片 2076" descr="江苏标普营业执照（新）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076" descr="江苏标普营业执照（新）_00"/>
                    <pic:cNvPicPr>
                      <a:picLocks noChangeAspect="1"/>
                    </pic:cNvPicPr>
                  </pic:nvPicPr>
                  <pic:blipFill>
                    <a:blip r:embed="rId19"/>
                    <a:srcRect l="2267" t="3630"/>
                    <a:stretch>
                      <a:fillRect/>
                    </a:stretch>
                  </pic:blipFill>
                  <pic:spPr>
                    <a:xfrm>
                      <a:off x="0" y="0"/>
                      <a:ext cx="4587240" cy="3201035"/>
                    </a:xfrm>
                    <a:prstGeom prst="rect">
                      <a:avLst/>
                    </a:prstGeom>
                    <a:noFill/>
                    <a:ln>
                      <a:noFill/>
                    </a:ln>
                  </pic:spPr>
                </pic:pic>
              </a:graphicData>
            </a:graphic>
          </wp:inline>
        </w:drawing>
      </w:r>
    </w:p>
    <w:p w14:paraId="753F0911">
      <w:pPr>
        <w:pStyle w:val="17"/>
        <w:spacing w:line="720" w:lineRule="auto"/>
        <w:jc w:val="center"/>
        <w:rPr>
          <w:rFonts w:hint="default" w:ascii="Times New Roman" w:hAnsi="Times New Roman" w:eastAsia="仿宋" w:cs="Times New Roman"/>
          <w:b w:val="0"/>
          <w:bCs/>
          <w:color w:val="auto"/>
          <w:sz w:val="28"/>
          <w:szCs w:val="28"/>
          <w:lang w:eastAsia="zh-C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68C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noWrap w:val="0"/>
            <w:vAlign w:val="top"/>
          </w:tcPr>
          <w:p w14:paraId="59932568">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项目名称：</w:t>
            </w:r>
            <w:r>
              <w:rPr>
                <w:rFonts w:hint="eastAsia" w:ascii="Times New Roman" w:hAnsi="Times New Roman" w:eastAsia="仿宋" w:cs="Times New Roman"/>
                <w:b w:val="0"/>
                <w:bCs/>
                <w:color w:val="auto"/>
                <w:sz w:val="28"/>
                <w:szCs w:val="28"/>
                <w:lang w:val="en-US" w:eastAsia="zh-CN"/>
              </w:rPr>
              <w:t>南通</w:t>
            </w:r>
            <w:r>
              <w:rPr>
                <w:rFonts w:hint="eastAsia" w:eastAsia="仿宋" w:cs="Times New Roman"/>
                <w:b w:val="0"/>
                <w:bCs/>
                <w:color w:val="auto"/>
                <w:sz w:val="28"/>
                <w:szCs w:val="28"/>
                <w:lang w:val="en-US" w:eastAsia="zh-CN"/>
              </w:rPr>
              <w:t>市</w:t>
            </w:r>
            <w:r>
              <w:rPr>
                <w:rFonts w:hint="eastAsia" w:ascii="Times New Roman" w:hAnsi="Times New Roman" w:eastAsia="仿宋" w:cs="Times New Roman"/>
                <w:b w:val="0"/>
                <w:bCs/>
                <w:color w:val="auto"/>
                <w:sz w:val="28"/>
                <w:szCs w:val="28"/>
                <w:lang w:val="en-US" w:eastAsia="zh-CN"/>
              </w:rPr>
              <w:t>通州区十总小学篮球场地块</w:t>
            </w:r>
            <w:r>
              <w:rPr>
                <w:rFonts w:hint="default" w:ascii="Times New Roman" w:hAnsi="Times New Roman" w:eastAsia="仿宋" w:cs="Times New Roman"/>
                <w:b w:val="0"/>
                <w:bCs/>
                <w:color w:val="auto"/>
                <w:sz w:val="28"/>
                <w:szCs w:val="28"/>
                <w:lang w:val="en-US" w:eastAsia="zh-CN"/>
              </w:rPr>
              <w:t>土壤污染状况调查报告</w:t>
            </w:r>
          </w:p>
        </w:tc>
      </w:tr>
      <w:tr w14:paraId="3FAE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noWrap w:val="0"/>
            <w:vAlign w:val="top"/>
          </w:tcPr>
          <w:p w14:paraId="10F88112">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委托单位：</w:t>
            </w:r>
            <w:r>
              <w:rPr>
                <w:rFonts w:hint="eastAsia" w:ascii="Times New Roman" w:hAnsi="Times New Roman" w:eastAsia="仿宋" w:cs="Times New Roman"/>
                <w:b w:val="0"/>
                <w:bCs/>
                <w:color w:val="auto"/>
                <w:sz w:val="28"/>
                <w:szCs w:val="28"/>
                <w:lang w:val="en-US" w:eastAsia="zh-CN"/>
              </w:rPr>
              <w:t>南通市通州区十总镇人民政府</w:t>
            </w:r>
          </w:p>
        </w:tc>
      </w:tr>
      <w:tr w14:paraId="4DF1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noWrap w:val="0"/>
            <w:vAlign w:val="top"/>
          </w:tcPr>
          <w:p w14:paraId="127AED89">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仿宋" w:cs="Times New Roman"/>
                <w:b w:val="0"/>
                <w:bCs/>
                <w:color w:val="auto"/>
                <w:sz w:val="28"/>
                <w:szCs w:val="28"/>
                <w:lang w:val="en-US" w:eastAsia="zh-CN"/>
              </w:rPr>
            </w:pPr>
            <w:r>
              <w:rPr>
                <w:rFonts w:hint="default" w:ascii="Times New Roman" w:hAnsi="Times New Roman" w:eastAsia="仿宋" w:cs="Times New Roman"/>
                <w:b w:val="0"/>
                <w:bCs/>
                <w:color w:val="auto"/>
                <w:sz w:val="28"/>
                <w:szCs w:val="28"/>
                <w:lang w:val="en-US" w:eastAsia="zh-CN"/>
              </w:rPr>
              <w:t>编制单位：江苏标普检测科技有限公司</w:t>
            </w:r>
          </w:p>
        </w:tc>
      </w:tr>
    </w:tbl>
    <w:p w14:paraId="1767DEBC">
      <w:pPr>
        <w:tabs>
          <w:tab w:val="center" w:pos="4213"/>
          <w:tab w:val="left" w:pos="4983"/>
        </w:tabs>
        <w:spacing w:line="240" w:lineRule="auto"/>
        <w:ind w:firstLine="0" w:firstLineChars="0"/>
        <w:jc w:val="center"/>
        <w:rPr>
          <w:rFonts w:hint="default" w:ascii="Times New Roman" w:hAnsi="Times New Roman" w:eastAsia="仿宋" w:cs="Times New Roman"/>
          <w:b/>
          <w:bCs/>
          <w:color w:val="auto"/>
          <w:lang w:val="en-US" w:eastAsia="zh-CN"/>
        </w:rPr>
      </w:pPr>
    </w:p>
    <w:p w14:paraId="3F8F54B0">
      <w:pPr>
        <w:tabs>
          <w:tab w:val="center" w:pos="4213"/>
          <w:tab w:val="left" w:pos="4983"/>
        </w:tabs>
        <w:spacing w:line="240" w:lineRule="auto"/>
        <w:ind w:firstLine="0" w:firstLineChars="0"/>
        <w:jc w:val="center"/>
        <w:rPr>
          <w:rFonts w:hint="default" w:ascii="Times New Roman" w:hAnsi="Times New Roman" w:eastAsia="仿宋" w:cs="Times New Roman"/>
          <w:b/>
          <w:bCs/>
          <w:color w:val="auto"/>
          <w:lang w:val="en-US" w:eastAsia="zh-CN"/>
        </w:rPr>
      </w:pPr>
      <w:r>
        <w:rPr>
          <w:rFonts w:hint="default" w:ascii="Times New Roman" w:hAnsi="Times New Roman" w:eastAsia="仿宋" w:cs="Times New Roman"/>
          <w:b/>
          <w:bCs/>
          <w:color w:val="auto"/>
          <w:lang w:val="en-US" w:eastAsia="zh-CN"/>
        </w:rPr>
        <w:t>人员信息表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975"/>
        <w:gridCol w:w="1214"/>
        <w:gridCol w:w="1546"/>
        <w:gridCol w:w="2672"/>
        <w:gridCol w:w="908"/>
      </w:tblGrid>
      <w:tr w14:paraId="32F9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noWrap w:val="0"/>
            <w:vAlign w:val="center"/>
          </w:tcPr>
          <w:p w14:paraId="6B35917C">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职责</w:t>
            </w:r>
          </w:p>
        </w:tc>
        <w:tc>
          <w:tcPr>
            <w:tcW w:w="572" w:type="pct"/>
            <w:noWrap w:val="0"/>
            <w:vAlign w:val="center"/>
          </w:tcPr>
          <w:p w14:paraId="31C3703E">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人员</w:t>
            </w:r>
          </w:p>
        </w:tc>
        <w:tc>
          <w:tcPr>
            <w:tcW w:w="712" w:type="pct"/>
            <w:noWrap w:val="0"/>
            <w:vAlign w:val="center"/>
          </w:tcPr>
          <w:p w14:paraId="5DD8491F">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专业</w:t>
            </w:r>
          </w:p>
        </w:tc>
        <w:tc>
          <w:tcPr>
            <w:tcW w:w="907" w:type="pct"/>
            <w:noWrap w:val="0"/>
            <w:vAlign w:val="center"/>
          </w:tcPr>
          <w:p w14:paraId="0E3AAD55">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职称</w:t>
            </w:r>
          </w:p>
        </w:tc>
        <w:tc>
          <w:tcPr>
            <w:tcW w:w="1567" w:type="pct"/>
            <w:noWrap w:val="0"/>
            <w:vAlign w:val="center"/>
          </w:tcPr>
          <w:p w14:paraId="3BF8C224">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身份证号码及联系电话</w:t>
            </w:r>
          </w:p>
        </w:tc>
        <w:tc>
          <w:tcPr>
            <w:tcW w:w="532" w:type="pct"/>
            <w:noWrap w:val="0"/>
            <w:vAlign w:val="center"/>
          </w:tcPr>
          <w:p w14:paraId="2CA327B8">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签字</w:t>
            </w:r>
          </w:p>
        </w:tc>
      </w:tr>
      <w:tr w14:paraId="594F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8" w:type="pct"/>
            <w:noWrap w:val="0"/>
            <w:vAlign w:val="center"/>
          </w:tcPr>
          <w:p w14:paraId="22B16EFC">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项目负责</w:t>
            </w:r>
          </w:p>
        </w:tc>
        <w:tc>
          <w:tcPr>
            <w:tcW w:w="572" w:type="pct"/>
            <w:noWrap w:val="0"/>
            <w:vAlign w:val="center"/>
          </w:tcPr>
          <w:p w14:paraId="7642E5C3">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沈琪</w:t>
            </w:r>
          </w:p>
        </w:tc>
        <w:tc>
          <w:tcPr>
            <w:tcW w:w="712" w:type="pct"/>
            <w:noWrap w:val="0"/>
            <w:vAlign w:val="center"/>
          </w:tcPr>
          <w:p w14:paraId="3B6BC7E3">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环境科学</w:t>
            </w:r>
          </w:p>
        </w:tc>
        <w:tc>
          <w:tcPr>
            <w:tcW w:w="907" w:type="pct"/>
            <w:noWrap w:val="0"/>
            <w:vAlign w:val="center"/>
          </w:tcPr>
          <w:p w14:paraId="385FE31E">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工程师</w:t>
            </w:r>
          </w:p>
        </w:tc>
        <w:tc>
          <w:tcPr>
            <w:tcW w:w="1567" w:type="pct"/>
            <w:noWrap w:val="0"/>
            <w:vAlign w:val="center"/>
          </w:tcPr>
          <w:p w14:paraId="53E400DD">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320602199310031023</w:t>
            </w:r>
          </w:p>
          <w:p w14:paraId="631A5FD2">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18206293006</w:t>
            </w:r>
          </w:p>
        </w:tc>
        <w:tc>
          <w:tcPr>
            <w:tcW w:w="532" w:type="pct"/>
            <w:noWrap w:val="0"/>
            <w:vAlign w:val="center"/>
          </w:tcPr>
          <w:p w14:paraId="41B8E6A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rPr>
            </w:pPr>
          </w:p>
        </w:tc>
      </w:tr>
      <w:tr w14:paraId="45F6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708" w:type="pct"/>
            <w:noWrap w:val="0"/>
            <w:vAlign w:val="center"/>
          </w:tcPr>
          <w:p w14:paraId="65738D51">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现场踏勘</w:t>
            </w:r>
          </w:p>
        </w:tc>
        <w:tc>
          <w:tcPr>
            <w:tcW w:w="572" w:type="pct"/>
            <w:noWrap w:val="0"/>
            <w:vAlign w:val="center"/>
          </w:tcPr>
          <w:p w14:paraId="50DF0DE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顾建亚</w:t>
            </w:r>
          </w:p>
        </w:tc>
        <w:tc>
          <w:tcPr>
            <w:tcW w:w="712" w:type="pct"/>
            <w:noWrap w:val="0"/>
            <w:vAlign w:val="center"/>
          </w:tcPr>
          <w:p w14:paraId="02D07A0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环境工程</w:t>
            </w:r>
          </w:p>
        </w:tc>
        <w:tc>
          <w:tcPr>
            <w:tcW w:w="907" w:type="pct"/>
            <w:noWrap w:val="0"/>
            <w:vAlign w:val="center"/>
          </w:tcPr>
          <w:p w14:paraId="5827F724">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助理工程师</w:t>
            </w:r>
          </w:p>
        </w:tc>
        <w:tc>
          <w:tcPr>
            <w:tcW w:w="1567" w:type="pct"/>
            <w:noWrap w:val="0"/>
            <w:vAlign w:val="center"/>
          </w:tcPr>
          <w:p w14:paraId="26A61161">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320683199408273010</w:t>
            </w:r>
          </w:p>
          <w:p w14:paraId="53746059">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eastAsia" w:ascii="Times New Roman" w:hAnsi="Times New Roman" w:eastAsia="仿宋" w:cs="Times New Roman"/>
                <w:b w:val="0"/>
                <w:bCs/>
                <w:color w:val="auto"/>
                <w:sz w:val="24"/>
                <w:szCs w:val="24"/>
                <w:vertAlign w:val="baseline"/>
                <w:lang w:val="en-US" w:eastAsia="zh-CN"/>
              </w:rPr>
              <w:t>19555031446</w:t>
            </w:r>
          </w:p>
        </w:tc>
        <w:tc>
          <w:tcPr>
            <w:tcW w:w="532" w:type="pct"/>
            <w:noWrap w:val="0"/>
            <w:vAlign w:val="center"/>
          </w:tcPr>
          <w:p w14:paraId="284731D7">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 w:val="0"/>
                <w:bCs/>
                <w:color w:val="auto"/>
                <w:kern w:val="2"/>
                <w:sz w:val="24"/>
                <w:szCs w:val="24"/>
                <w:vertAlign w:val="baseline"/>
                <w:lang w:val="en-US" w:eastAsia="zh-CN" w:bidi="ar-SA"/>
              </w:rPr>
            </w:pPr>
          </w:p>
        </w:tc>
      </w:tr>
      <w:tr w14:paraId="240A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708" w:type="pct"/>
            <w:noWrap w:val="0"/>
            <w:vAlign w:val="center"/>
          </w:tcPr>
          <w:p w14:paraId="49F0C5C8">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报告编制</w:t>
            </w:r>
          </w:p>
        </w:tc>
        <w:tc>
          <w:tcPr>
            <w:tcW w:w="572" w:type="pct"/>
            <w:noWrap w:val="0"/>
            <w:vAlign w:val="center"/>
          </w:tcPr>
          <w:p w14:paraId="71BF0EE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陆天悦</w:t>
            </w:r>
          </w:p>
        </w:tc>
        <w:tc>
          <w:tcPr>
            <w:tcW w:w="712" w:type="pct"/>
            <w:noWrap w:val="0"/>
            <w:vAlign w:val="center"/>
          </w:tcPr>
          <w:p w14:paraId="6ADBE66B">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环境工程</w:t>
            </w:r>
          </w:p>
        </w:tc>
        <w:tc>
          <w:tcPr>
            <w:tcW w:w="907" w:type="pct"/>
            <w:noWrap w:val="0"/>
            <w:vAlign w:val="center"/>
          </w:tcPr>
          <w:p w14:paraId="1488E9F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助理工程师</w:t>
            </w:r>
          </w:p>
        </w:tc>
        <w:tc>
          <w:tcPr>
            <w:tcW w:w="1567" w:type="pct"/>
            <w:noWrap w:val="0"/>
            <w:vAlign w:val="center"/>
          </w:tcPr>
          <w:p w14:paraId="5A7E20C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320611200011251829</w:t>
            </w:r>
          </w:p>
          <w:p w14:paraId="60F161E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18862934712</w:t>
            </w:r>
          </w:p>
        </w:tc>
        <w:tc>
          <w:tcPr>
            <w:tcW w:w="532" w:type="pct"/>
            <w:noWrap w:val="0"/>
            <w:vAlign w:val="center"/>
          </w:tcPr>
          <w:p w14:paraId="6E16314F">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rPr>
            </w:pPr>
          </w:p>
        </w:tc>
      </w:tr>
      <w:tr w14:paraId="631D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708" w:type="pct"/>
            <w:noWrap w:val="0"/>
            <w:vAlign w:val="center"/>
          </w:tcPr>
          <w:p w14:paraId="11F1B423">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报告审核</w:t>
            </w:r>
          </w:p>
        </w:tc>
        <w:tc>
          <w:tcPr>
            <w:tcW w:w="572" w:type="pct"/>
            <w:noWrap w:val="0"/>
            <w:vAlign w:val="center"/>
          </w:tcPr>
          <w:p w14:paraId="1CAC583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徐俊</w:t>
            </w:r>
          </w:p>
        </w:tc>
        <w:tc>
          <w:tcPr>
            <w:tcW w:w="712" w:type="pct"/>
            <w:noWrap w:val="0"/>
            <w:vAlign w:val="center"/>
          </w:tcPr>
          <w:p w14:paraId="1D66A031">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环境工程</w:t>
            </w:r>
          </w:p>
        </w:tc>
        <w:tc>
          <w:tcPr>
            <w:tcW w:w="907" w:type="pct"/>
            <w:noWrap w:val="0"/>
            <w:vAlign w:val="center"/>
          </w:tcPr>
          <w:p w14:paraId="559D38A2">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研究员级高级工程师</w:t>
            </w:r>
          </w:p>
        </w:tc>
        <w:tc>
          <w:tcPr>
            <w:tcW w:w="1567" w:type="pct"/>
            <w:noWrap w:val="0"/>
            <w:vAlign w:val="center"/>
          </w:tcPr>
          <w:p w14:paraId="3BB52A3F">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320622197312170197</w:t>
            </w:r>
          </w:p>
          <w:p w14:paraId="11B76F46">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lang w:val="en-US" w:eastAsia="zh-CN"/>
              </w:rPr>
            </w:pPr>
            <w:r>
              <w:rPr>
                <w:rFonts w:hint="default" w:ascii="Times New Roman" w:hAnsi="Times New Roman" w:eastAsia="仿宋" w:cs="Times New Roman"/>
                <w:b w:val="0"/>
                <w:bCs/>
                <w:color w:val="auto"/>
                <w:sz w:val="24"/>
                <w:szCs w:val="24"/>
                <w:vertAlign w:val="baseline"/>
                <w:lang w:val="en-US" w:eastAsia="zh-CN"/>
              </w:rPr>
              <w:t>13862734560</w:t>
            </w:r>
          </w:p>
        </w:tc>
        <w:tc>
          <w:tcPr>
            <w:tcW w:w="532" w:type="pct"/>
            <w:noWrap w:val="0"/>
            <w:vAlign w:val="center"/>
          </w:tcPr>
          <w:p w14:paraId="2513FA78">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b w:val="0"/>
                <w:bCs/>
                <w:color w:val="auto"/>
                <w:sz w:val="24"/>
                <w:szCs w:val="24"/>
                <w:vertAlign w:val="baseline"/>
              </w:rPr>
            </w:pPr>
          </w:p>
        </w:tc>
      </w:tr>
    </w:tbl>
    <w:p w14:paraId="2B5E8858">
      <w:pPr>
        <w:tabs>
          <w:tab w:val="center" w:pos="4213"/>
          <w:tab w:val="left" w:pos="4983"/>
        </w:tabs>
        <w:spacing w:line="240" w:lineRule="auto"/>
        <w:ind w:firstLine="0" w:firstLineChars="0"/>
        <w:jc w:val="left"/>
        <w:rPr>
          <w:rFonts w:hint="default" w:ascii="Times New Roman" w:hAnsi="Times New Roman" w:eastAsia="仿宋" w:cs="Times New Roman"/>
          <w:color w:val="auto"/>
        </w:rPr>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1CD8DCED">
      <w:pPr>
        <w:pStyle w:val="7"/>
        <w:rPr>
          <w:rFonts w:hint="default" w:ascii="Times New Roman" w:hAnsi="Times New Roman" w:eastAsia="仿宋" w:cs="Times New Roman"/>
          <w:color w:val="auto"/>
        </w:rPr>
        <w:sectPr>
          <w:head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2E51F9B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 w:cs="Times New Roman"/>
          <w:b/>
          <w:bCs/>
          <w:color w:val="auto"/>
          <w:sz w:val="30"/>
          <w:szCs w:val="30"/>
          <w:lang w:val="en-US" w:eastAsia="zh-CN"/>
        </w:rPr>
      </w:pPr>
      <w:r>
        <w:rPr>
          <w:rFonts w:hint="default" w:ascii="Times New Roman" w:hAnsi="Times New Roman" w:eastAsia="仿宋" w:cs="Times New Roman"/>
          <w:b/>
          <w:bCs/>
          <w:color w:val="auto"/>
          <w:sz w:val="30"/>
          <w:szCs w:val="30"/>
          <w:lang w:val="en-US" w:eastAsia="zh-CN"/>
        </w:rPr>
        <w:t>摘要</w:t>
      </w:r>
    </w:p>
    <w:p w14:paraId="0D43E3D7">
      <w:pPr>
        <w:pStyle w:val="6"/>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南通</w:t>
      </w:r>
      <w:r>
        <w:rPr>
          <w:rFonts w:hint="eastAsia" w:eastAsia="仿宋" w:cs="Times New Roman"/>
          <w:color w:val="auto"/>
          <w:sz w:val="24"/>
          <w:szCs w:val="24"/>
          <w:lang w:val="en-US" w:eastAsia="zh-CN"/>
        </w:rPr>
        <w:t>市</w:t>
      </w:r>
      <w:r>
        <w:rPr>
          <w:rFonts w:hint="default" w:ascii="Times New Roman" w:hAnsi="Times New Roman" w:eastAsia="仿宋" w:cs="Times New Roman"/>
          <w:color w:val="auto"/>
          <w:sz w:val="24"/>
          <w:szCs w:val="24"/>
          <w:lang w:val="en-US" w:eastAsia="zh-CN"/>
        </w:rPr>
        <w:t>通州区十总小学篮球场地块位于南通市通州区，项目红线呈“矩形”。</w:t>
      </w:r>
      <w:r>
        <w:rPr>
          <w:rFonts w:hint="default" w:ascii="Times New Roman" w:hAnsi="Times New Roman" w:eastAsia="仿宋" w:cs="Times New Roman"/>
          <w:color w:val="auto"/>
          <w:lang w:val="en-US" w:eastAsia="zh-CN"/>
        </w:rPr>
        <w:t>本次调查地块总占地面积为2509平方米。</w:t>
      </w:r>
      <w:r>
        <w:rPr>
          <w:rFonts w:hint="default" w:ascii="Times New Roman" w:hAnsi="Times New Roman" w:eastAsia="仿宋" w:cs="Times New Roman"/>
          <w:color w:val="auto"/>
          <w:sz w:val="24"/>
          <w:szCs w:val="24"/>
          <w:lang w:val="en-US" w:eastAsia="zh-CN"/>
        </w:rPr>
        <w:t>地块北至中片六总路，南至小河，西至空地，东至十总小学塑胶跑道。</w:t>
      </w:r>
    </w:p>
    <w:p w14:paraId="3F42E18F">
      <w:pPr>
        <w:pStyle w:val="6"/>
        <w:keepNext w:val="0"/>
        <w:keepLines w:val="0"/>
        <w:pageBreakBefore w:val="0"/>
        <w:widowControl/>
        <w:kinsoku/>
        <w:wordWrap/>
        <w:overflowPunct/>
        <w:topLinePunct w:val="0"/>
        <w:autoSpaceDE/>
        <w:autoSpaceDN/>
        <w:bidi w:val="0"/>
        <w:adjustRightInd/>
        <w:snapToGrid/>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根据《南通市通州区十总镇总体规划(2016-2030)》，本次</w:t>
      </w:r>
      <w:r>
        <w:rPr>
          <w:rFonts w:hint="default" w:ascii="Times New Roman" w:hAnsi="Times New Roman" w:eastAsia="仿宋" w:cs="Times New Roman"/>
          <w:color w:val="auto"/>
        </w:rPr>
        <w:t>调查地块未来规划为</w:t>
      </w:r>
      <w:r>
        <w:rPr>
          <w:rFonts w:hint="default" w:ascii="Times New Roman" w:hAnsi="Times New Roman" w:eastAsia="仿宋" w:cs="Times New Roman"/>
          <w:color w:val="auto"/>
          <w:lang w:val="en-US" w:eastAsia="zh-CN"/>
        </w:rPr>
        <w:t>教育科研用地</w:t>
      </w:r>
      <w:r>
        <w:rPr>
          <w:rFonts w:hint="default" w:ascii="Times New Roman" w:hAnsi="Times New Roman" w:eastAsia="仿宋" w:cs="Times New Roman"/>
          <w:color w:val="auto"/>
        </w:rPr>
        <w:t>，</w:t>
      </w:r>
      <w:r>
        <w:rPr>
          <w:rFonts w:hint="default" w:ascii="Times New Roman" w:hAnsi="Times New Roman" w:eastAsia="仿宋" w:cs="Times New Roman"/>
          <w:color w:val="auto"/>
          <w:sz w:val="24"/>
          <w:szCs w:val="24"/>
          <w:lang w:val="en-US" w:eastAsia="zh-CN"/>
        </w:rPr>
        <w:t>适用于《土壤环境质量 建设用地土壤污染风险管控标准(试行)》（GB36600-2018）中的第一类用地的筛选值评价标准。</w:t>
      </w:r>
    </w:p>
    <w:p w14:paraId="38553D23">
      <w:pPr>
        <w:pStyle w:val="6"/>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本次调查地块</w:t>
      </w:r>
      <w:r>
        <w:rPr>
          <w:rFonts w:hint="eastAsia" w:ascii="Times New Roman" w:hAnsi="Times New Roman" w:eastAsia="仿宋" w:cs="Times New Roman"/>
          <w:color w:val="auto"/>
          <w:sz w:val="24"/>
          <w:szCs w:val="24"/>
          <w:lang w:val="en-US" w:eastAsia="zh-CN"/>
        </w:rPr>
        <w:t>已</w:t>
      </w:r>
      <w:r>
        <w:rPr>
          <w:rFonts w:hint="default" w:ascii="Times New Roman" w:hAnsi="Times New Roman" w:eastAsia="仿宋" w:cs="Times New Roman"/>
          <w:color w:val="auto"/>
          <w:sz w:val="24"/>
          <w:szCs w:val="24"/>
          <w:lang w:val="en-US" w:eastAsia="zh-CN"/>
        </w:rPr>
        <w:t>于2018年</w:t>
      </w:r>
      <w:r>
        <w:rPr>
          <w:rFonts w:hint="eastAsia" w:ascii="Times New Roman" w:hAnsi="Times New Roman" w:eastAsia="仿宋" w:cs="Times New Roman"/>
          <w:color w:val="auto"/>
          <w:sz w:val="24"/>
          <w:szCs w:val="24"/>
          <w:lang w:val="en-US" w:eastAsia="zh-CN"/>
        </w:rPr>
        <w:t>与</w:t>
      </w:r>
      <w:r>
        <w:rPr>
          <w:rFonts w:hint="default" w:ascii="Times New Roman" w:hAnsi="Times New Roman" w:eastAsia="仿宋" w:cs="Times New Roman"/>
          <w:color w:val="auto"/>
          <w:sz w:val="24"/>
          <w:szCs w:val="24"/>
          <w:lang w:val="en-US" w:eastAsia="zh-CN"/>
        </w:rPr>
        <w:t>十总小学签订</w:t>
      </w:r>
      <w:r>
        <w:rPr>
          <w:rFonts w:hint="eastAsia" w:ascii="Times New Roman" w:hAnsi="Times New Roman" w:eastAsia="仿宋" w:cs="Times New Roman"/>
          <w:color w:val="auto"/>
          <w:sz w:val="24"/>
          <w:szCs w:val="24"/>
          <w:lang w:val="en-US" w:eastAsia="zh-CN"/>
        </w:rPr>
        <w:t>合同，该地块作为十总小学篮球场使用。据调查，</w:t>
      </w:r>
      <w:r>
        <w:rPr>
          <w:rFonts w:hint="default" w:ascii="Times New Roman" w:hAnsi="Times New Roman" w:eastAsia="仿宋" w:cs="Times New Roman"/>
          <w:color w:val="auto"/>
          <w:sz w:val="24"/>
          <w:szCs w:val="24"/>
          <w:lang w:val="en-US" w:eastAsia="zh-CN"/>
        </w:rPr>
        <w:t>十总小学</w:t>
      </w:r>
      <w:r>
        <w:rPr>
          <w:rFonts w:hint="eastAsia" w:ascii="Times New Roman" w:hAnsi="Times New Roman" w:eastAsia="仿宋" w:cs="Times New Roman"/>
          <w:color w:val="auto"/>
          <w:sz w:val="24"/>
          <w:szCs w:val="24"/>
          <w:lang w:val="en-US" w:eastAsia="zh-CN"/>
        </w:rPr>
        <w:t>篮球场已</w:t>
      </w:r>
      <w:r>
        <w:rPr>
          <w:rFonts w:hint="default" w:ascii="Times New Roman" w:hAnsi="Times New Roman" w:eastAsia="仿宋" w:cs="Times New Roman"/>
          <w:color w:val="auto"/>
          <w:sz w:val="24"/>
          <w:szCs w:val="24"/>
          <w:lang w:val="en-US" w:eastAsia="zh-CN"/>
        </w:rPr>
        <w:t>于2019年投入使用，</w:t>
      </w:r>
      <w:r>
        <w:rPr>
          <w:rFonts w:hint="eastAsia" w:eastAsia="仿宋" w:cs="Times New Roman"/>
          <w:color w:val="auto"/>
          <w:sz w:val="24"/>
          <w:szCs w:val="24"/>
          <w:lang w:val="en-US" w:eastAsia="zh-CN"/>
        </w:rPr>
        <w:t>现由于</w:t>
      </w:r>
      <w:r>
        <w:rPr>
          <w:rFonts w:hint="default" w:ascii="Times New Roman" w:hAnsi="Times New Roman" w:eastAsia="仿宋" w:cs="Times New Roman"/>
          <w:color w:val="auto"/>
          <w:lang w:val="en-US" w:eastAsia="zh-CN"/>
        </w:rPr>
        <w:t>土地流转</w:t>
      </w:r>
      <w:r>
        <w:rPr>
          <w:rFonts w:hint="eastAsia" w:eastAsia="仿宋" w:cs="Times New Roman"/>
          <w:color w:val="auto"/>
          <w:lang w:val="en-US" w:eastAsia="zh-CN"/>
        </w:rPr>
        <w:t>过程中缺少该地块的土壤污染状况调查报告，因此</w:t>
      </w:r>
      <w:r>
        <w:rPr>
          <w:rFonts w:hint="default" w:ascii="Times New Roman" w:hAnsi="Times New Roman" w:eastAsia="仿宋" w:cs="Times New Roman"/>
          <w:color w:val="auto"/>
          <w:sz w:val="24"/>
          <w:szCs w:val="24"/>
          <w:lang w:val="en-US" w:eastAsia="zh-CN"/>
        </w:rPr>
        <w:t>南通市通州区十总镇人民政府委托江苏标普检测科技有限公司对</w:t>
      </w:r>
      <w:r>
        <w:rPr>
          <w:rFonts w:hint="eastAsia" w:ascii="Times New Roman" w:hAnsi="Times New Roman" w:eastAsia="仿宋" w:cs="Times New Roman"/>
          <w:color w:val="auto"/>
          <w:sz w:val="24"/>
          <w:szCs w:val="24"/>
          <w:lang w:val="en-US" w:eastAsia="zh-CN"/>
        </w:rPr>
        <w:t>南通市通州区</w:t>
      </w:r>
      <w:r>
        <w:rPr>
          <w:rFonts w:hint="default" w:ascii="Times New Roman" w:hAnsi="Times New Roman" w:eastAsia="仿宋" w:cs="Times New Roman"/>
          <w:color w:val="auto"/>
          <w:sz w:val="24"/>
          <w:szCs w:val="24"/>
          <w:lang w:val="en-US" w:eastAsia="zh-CN"/>
        </w:rPr>
        <w:t>十总小学篮球场地块土壤污染状况</w:t>
      </w:r>
      <w:r>
        <w:rPr>
          <w:rFonts w:hint="default" w:ascii="Times New Roman" w:hAnsi="Times New Roman" w:eastAsia="仿宋" w:cs="Times New Roman"/>
          <w:color w:val="auto"/>
          <w:kern w:val="2"/>
          <w:sz w:val="24"/>
          <w:szCs w:val="24"/>
          <w:lang w:val="en-US" w:eastAsia="zh-CN" w:bidi="ar-SA"/>
        </w:rPr>
        <w:t>进行调查。</w:t>
      </w:r>
    </w:p>
    <w:p w14:paraId="3E234E88">
      <w:pPr>
        <w:pStyle w:val="6"/>
        <w:keepNext w:val="0"/>
        <w:keepLines w:val="0"/>
        <w:pageBreakBefore w:val="0"/>
        <w:widowControl/>
        <w:kinsoku/>
        <w:wordWrap/>
        <w:overflowPunct/>
        <w:topLinePunct w:val="0"/>
        <w:autoSpaceDE/>
        <w:autoSpaceDN/>
        <w:bidi w:val="0"/>
        <w:adjustRightInd/>
        <w:snapToGrid/>
        <w:textAlignment w:val="auto"/>
        <w:rPr>
          <w:rFonts w:hint="default" w:eastAsia="仿宋" w:cs="Times New Roman"/>
          <w:color w:val="auto"/>
          <w:sz w:val="24"/>
          <w:szCs w:val="24"/>
          <w:lang w:val="en-US" w:eastAsia="zh-CN"/>
        </w:rPr>
      </w:pPr>
      <w:r>
        <w:rPr>
          <w:rFonts w:hint="default" w:ascii="Times New Roman" w:hAnsi="Times New Roman" w:eastAsia="仿宋" w:cs="Times New Roman"/>
          <w:color w:val="auto"/>
          <w:sz w:val="24"/>
          <w:szCs w:val="24"/>
          <w:lang w:val="en-US" w:eastAsia="zh-CN"/>
        </w:rPr>
        <w:t>结合卫星影像及人员访谈得知，地块内</w:t>
      </w:r>
      <w:r>
        <w:rPr>
          <w:rFonts w:hint="eastAsia" w:eastAsia="仿宋" w:cs="Times New Roman"/>
          <w:color w:val="auto"/>
          <w:sz w:val="24"/>
          <w:szCs w:val="24"/>
          <w:lang w:val="en-US" w:eastAsia="zh-CN"/>
        </w:rPr>
        <w:t>一直</w:t>
      </w:r>
      <w:r>
        <w:rPr>
          <w:rFonts w:hint="default" w:ascii="Times New Roman" w:hAnsi="Times New Roman" w:eastAsia="仿宋" w:cs="Times New Roman"/>
          <w:color w:val="auto"/>
          <w:sz w:val="24"/>
          <w:szCs w:val="24"/>
          <w:lang w:val="en-US" w:eastAsia="zh-CN"/>
        </w:rPr>
        <w:t>无企业存在，未进行过工业生产活动。该地块于2001年至2015年曾存在</w:t>
      </w:r>
      <w:r>
        <w:rPr>
          <w:rFonts w:hint="eastAsia" w:ascii="Times New Roman" w:hAnsi="Times New Roman" w:eastAsia="仿宋" w:cs="Times New Roman"/>
          <w:color w:val="auto"/>
          <w:sz w:val="24"/>
          <w:szCs w:val="24"/>
          <w:lang w:val="en-US" w:eastAsia="zh-CN"/>
        </w:rPr>
        <w:t>十总小学教职工宿舍；2018年拆除</w:t>
      </w:r>
      <w:r>
        <w:rPr>
          <w:rFonts w:hint="eastAsia" w:eastAsia="仿宋" w:cs="Times New Roman"/>
          <w:color w:val="auto"/>
          <w:sz w:val="24"/>
          <w:szCs w:val="24"/>
          <w:lang w:val="en-US" w:eastAsia="zh-CN"/>
        </w:rPr>
        <w:t>后</w:t>
      </w:r>
      <w:r>
        <w:rPr>
          <w:rFonts w:hint="eastAsia" w:ascii="Times New Roman" w:hAnsi="Times New Roman" w:eastAsia="仿宋" w:cs="Times New Roman"/>
          <w:color w:val="auto"/>
          <w:sz w:val="24"/>
          <w:szCs w:val="24"/>
          <w:lang w:val="en-US" w:eastAsia="zh-CN"/>
        </w:rPr>
        <w:t>为空地，并于当年签订合同，2019年投入使用。</w:t>
      </w:r>
      <w:r>
        <w:rPr>
          <w:rFonts w:hint="default" w:ascii="Times New Roman" w:hAnsi="Times New Roman" w:eastAsia="仿宋" w:cs="Times New Roman"/>
          <w:color w:val="auto"/>
          <w:sz w:val="24"/>
          <w:szCs w:val="24"/>
          <w:lang w:val="en-US" w:eastAsia="zh-CN"/>
        </w:rPr>
        <w:t>本次调查地块周边有</w:t>
      </w:r>
      <w:r>
        <w:rPr>
          <w:rFonts w:hint="eastAsia" w:eastAsia="仿宋" w:cs="Times New Roman"/>
          <w:color w:val="auto"/>
          <w:sz w:val="24"/>
          <w:szCs w:val="24"/>
          <w:lang w:val="en-US" w:eastAsia="zh-CN"/>
        </w:rPr>
        <w:t>南通东升化工有限公司（原通州市华东特种原料厂）、南通叠羽复合包装材料有限公司等；</w:t>
      </w:r>
      <w:r>
        <w:rPr>
          <w:rFonts w:hint="default" w:ascii="Times New Roman" w:hAnsi="Times New Roman" w:eastAsia="仿宋" w:cs="Times New Roman"/>
          <w:color w:val="auto"/>
          <w:sz w:val="24"/>
          <w:szCs w:val="24"/>
          <w:lang w:val="en-US" w:eastAsia="zh-CN"/>
        </w:rPr>
        <w:t>距离本地块最近的企业为南通东升化工有限公司（原通州市华东特种原料厂），最近距离为80m；根据在十总镇环保办收集到的资料，南通市通州区十总镇人民政府于2023年11月委托江苏国鼎环保产业集团有限公司</w:t>
      </w:r>
      <w:r>
        <w:rPr>
          <w:rFonts w:hint="eastAsia" w:eastAsia="仿宋" w:cs="Times New Roman"/>
          <w:color w:val="auto"/>
          <w:sz w:val="24"/>
          <w:szCs w:val="24"/>
          <w:lang w:val="en-US" w:eastAsia="zh-CN"/>
        </w:rPr>
        <w:t>对</w:t>
      </w:r>
      <w:r>
        <w:rPr>
          <w:rFonts w:hint="default" w:ascii="Times New Roman" w:hAnsi="Times New Roman" w:eastAsia="仿宋" w:cs="Times New Roman"/>
          <w:color w:val="auto"/>
          <w:sz w:val="24"/>
          <w:szCs w:val="24"/>
          <w:lang w:val="en-US" w:eastAsia="zh-CN"/>
        </w:rPr>
        <w:t>南通东升化工有限公司（原通州市华东特种原料厂）地块展开了地块土壤污染现状调查，并于2023年9月26日通过专家评审。根据报告结论可知，南通东升化工有限公司（原通州市华东特种原料厂）地块及周边地块的生产活动未对土壤产生影响，部分点位地下水</w:t>
      </w:r>
      <w:r>
        <w:rPr>
          <w:rFonts w:hint="eastAsia" w:eastAsia="仿宋" w:cs="Times New Roman"/>
          <w:color w:val="auto"/>
          <w:sz w:val="24"/>
          <w:szCs w:val="24"/>
          <w:lang w:val="en-US" w:eastAsia="zh-CN"/>
        </w:rPr>
        <w:t>中氨氮、铁等一般常规因子</w:t>
      </w:r>
      <w:r>
        <w:rPr>
          <w:rFonts w:hint="eastAsia" w:ascii="Times New Roman" w:hAnsi="Times New Roman" w:eastAsia="仿宋" w:cs="Times New Roman"/>
          <w:color w:val="auto"/>
          <w:sz w:val="24"/>
          <w:szCs w:val="24"/>
          <w:lang w:val="en-US" w:eastAsia="zh-CN"/>
        </w:rPr>
        <w:t>不满足IV类水质标准</w:t>
      </w:r>
      <w:r>
        <w:rPr>
          <w:rFonts w:hint="default" w:ascii="Times New Roman" w:hAnsi="Times New Roman" w:eastAsia="仿宋" w:cs="Times New Roman"/>
          <w:color w:val="auto"/>
          <w:sz w:val="24"/>
          <w:szCs w:val="24"/>
          <w:lang w:val="en-US" w:eastAsia="zh-CN"/>
        </w:rPr>
        <w:t>，但本次调查地块不位于南通东升化工有限公司（原通州市华东特种原料厂）地块下游</w:t>
      </w:r>
      <w:r>
        <w:rPr>
          <w:rFonts w:hint="eastAsia" w:eastAsia="仿宋" w:cs="Times New Roman"/>
          <w:color w:val="auto"/>
          <w:sz w:val="24"/>
          <w:szCs w:val="24"/>
          <w:lang w:val="en-US" w:eastAsia="zh-CN"/>
        </w:rPr>
        <w:t>，不会对本次调查地块的地下水造成影响。</w:t>
      </w:r>
    </w:p>
    <w:p w14:paraId="1841F786">
      <w:pPr>
        <w:keepNext w:val="0"/>
        <w:keepLines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kern w:val="2"/>
          <w:sz w:val="24"/>
          <w:szCs w:val="24"/>
          <w:highlight w:val="none"/>
          <w:lang w:val="en-US" w:eastAsia="zh-CN" w:bidi="zh-CN"/>
        </w:rPr>
      </w:pPr>
      <w:r>
        <w:rPr>
          <w:rFonts w:hint="default" w:ascii="Times New Roman" w:hAnsi="Times New Roman" w:eastAsia="仿宋" w:cs="Times New Roman"/>
          <w:color w:val="auto"/>
          <w:kern w:val="2"/>
          <w:sz w:val="24"/>
          <w:szCs w:val="24"/>
          <w:highlight w:val="none"/>
          <w:lang w:val="en-US" w:eastAsia="zh-CN" w:bidi="zh-CN"/>
        </w:rPr>
        <w:t>根据实验室土壤样品快筛检测结果：XRF铬、砷、铅、镍、铜、镉</w:t>
      </w:r>
      <w:r>
        <w:rPr>
          <w:rFonts w:hint="eastAsia" w:eastAsia="仿宋" w:cs="Times New Roman"/>
          <w:color w:val="auto"/>
          <w:kern w:val="2"/>
          <w:sz w:val="24"/>
          <w:szCs w:val="24"/>
          <w:highlight w:val="none"/>
          <w:lang w:val="en-US" w:eastAsia="zh-CN" w:bidi="zh-CN"/>
        </w:rPr>
        <w:t>、</w:t>
      </w:r>
      <w:r>
        <w:rPr>
          <w:rFonts w:hint="default" w:ascii="Times New Roman" w:hAnsi="Times New Roman" w:eastAsia="仿宋" w:cs="Times New Roman"/>
          <w:color w:val="auto"/>
          <w:kern w:val="2"/>
          <w:sz w:val="24"/>
          <w:szCs w:val="24"/>
          <w:highlight w:val="none"/>
          <w:lang w:val="en-US" w:eastAsia="zh-CN" w:bidi="zh-CN"/>
        </w:rPr>
        <w:t>锌均检出，汞未检出。现场PID快速检测的有机物浓度范围为</w:t>
      </w:r>
      <w:r>
        <w:rPr>
          <w:rFonts w:hint="eastAsia" w:eastAsia="仿宋" w:cs="Times New Roman"/>
          <w:color w:val="auto"/>
          <w:kern w:val="2"/>
          <w:sz w:val="24"/>
          <w:szCs w:val="24"/>
          <w:highlight w:val="none"/>
          <w:lang w:val="en-US" w:eastAsia="zh-CN" w:bidi="zh-CN"/>
        </w:rPr>
        <w:t>101-220</w:t>
      </w:r>
      <w:r>
        <w:rPr>
          <w:rFonts w:hint="default" w:ascii="Times New Roman" w:hAnsi="Times New Roman" w:eastAsia="仿宋" w:cs="Times New Roman"/>
          <w:color w:val="auto"/>
          <w:kern w:val="2"/>
          <w:sz w:val="24"/>
          <w:szCs w:val="24"/>
          <w:highlight w:val="none"/>
          <w:lang w:val="en-US" w:eastAsia="zh-CN" w:bidi="zh-CN"/>
        </w:rPr>
        <w:t>pp</w:t>
      </w:r>
      <w:r>
        <w:rPr>
          <w:rFonts w:hint="eastAsia" w:eastAsia="仿宋" w:cs="Times New Roman"/>
          <w:color w:val="auto"/>
          <w:kern w:val="2"/>
          <w:sz w:val="24"/>
          <w:szCs w:val="24"/>
          <w:highlight w:val="none"/>
          <w:lang w:val="en-US" w:eastAsia="zh-CN" w:bidi="zh-CN"/>
        </w:rPr>
        <w:t>b</w:t>
      </w:r>
      <w:r>
        <w:rPr>
          <w:rFonts w:hint="default" w:ascii="Times New Roman" w:hAnsi="Times New Roman" w:eastAsia="仿宋" w:cs="Times New Roman"/>
          <w:color w:val="auto"/>
          <w:kern w:val="2"/>
          <w:sz w:val="24"/>
          <w:szCs w:val="24"/>
          <w:highlight w:val="none"/>
          <w:lang w:val="en-US" w:eastAsia="zh-CN" w:bidi="zh-CN"/>
        </w:rPr>
        <w:t>，检测浓度水平较低。</w:t>
      </w:r>
    </w:p>
    <w:p w14:paraId="01CA4C08">
      <w:pPr>
        <w:pStyle w:val="6"/>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kern w:val="2"/>
          <w:sz w:val="24"/>
          <w:szCs w:val="24"/>
          <w:highlight w:val="none"/>
          <w:lang w:val="en-US" w:eastAsia="zh-CN" w:bidi="zh-CN"/>
        </w:rPr>
        <w:t>经过第一阶段土壤污染状况调查可得到结论：本次调查地块历史上主要为农田和</w:t>
      </w:r>
      <w:r>
        <w:rPr>
          <w:rFonts w:hint="eastAsia" w:eastAsia="仿宋" w:cs="Times New Roman"/>
          <w:color w:val="auto"/>
          <w:kern w:val="2"/>
          <w:sz w:val="24"/>
          <w:szCs w:val="24"/>
          <w:highlight w:val="none"/>
          <w:lang w:val="en-US" w:eastAsia="zh-CN" w:bidi="zh-CN"/>
        </w:rPr>
        <w:t>教职工宿舍</w:t>
      </w:r>
      <w:r>
        <w:rPr>
          <w:rFonts w:hint="default" w:ascii="Times New Roman" w:hAnsi="Times New Roman" w:eastAsia="仿宋" w:cs="Times New Roman"/>
          <w:color w:val="auto"/>
          <w:kern w:val="2"/>
          <w:sz w:val="24"/>
          <w:szCs w:val="24"/>
          <w:highlight w:val="none"/>
          <w:lang w:val="en-US" w:eastAsia="zh-CN" w:bidi="zh-CN"/>
        </w:rPr>
        <w:t>，未发现固体废物或外来堆土等污染源，周边环境对调查地块不</w:t>
      </w:r>
      <w:r>
        <w:rPr>
          <w:rFonts w:hint="default" w:ascii="Times New Roman" w:hAnsi="Times New Roman" w:eastAsia="仿宋" w:cs="Times New Roman"/>
          <w:color w:val="auto"/>
          <w:sz w:val="24"/>
          <w:szCs w:val="24"/>
          <w:lang w:val="en-US" w:eastAsia="zh-CN"/>
        </w:rPr>
        <w:t>存在潜在污染，地块环境风险处于可接受水平。</w:t>
      </w:r>
      <w:r>
        <w:rPr>
          <w:rFonts w:hint="eastAsia" w:ascii="Times New Roman" w:hAnsi="Times New Roman" w:eastAsia="仿宋" w:cs="Times New Roman"/>
          <w:color w:val="auto"/>
          <w:sz w:val="24"/>
          <w:szCs w:val="24"/>
          <w:lang w:val="en-US" w:eastAsia="zh-CN"/>
        </w:rPr>
        <w:t>南通市通州区十总小学篮球场地块</w:t>
      </w:r>
      <w:r>
        <w:rPr>
          <w:rFonts w:hint="default" w:ascii="Times New Roman" w:hAnsi="Times New Roman" w:eastAsia="仿宋" w:cs="Times New Roman"/>
          <w:color w:val="auto"/>
          <w:sz w:val="24"/>
          <w:szCs w:val="24"/>
          <w:lang w:val="en-US" w:eastAsia="zh-CN"/>
        </w:rPr>
        <w:t>满足《南通市通州区十总镇总体规划</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2016-2030</w:t>
      </w:r>
      <w:r>
        <w:rPr>
          <w:rFonts w:hint="eastAsia"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》规划用地（教育科研用地）《土壤环境质量 建设用地土壤污染风险管控标准(试行)》</w:t>
      </w:r>
      <w:r>
        <w:rPr>
          <w:rFonts w:hint="eastAsia" w:ascii="Times New Roman" w:hAnsi="Times New Roman" w:eastAsia="仿宋" w:cs="Times New Roman"/>
          <w:color w:val="auto"/>
          <w:sz w:val="24"/>
          <w:szCs w:val="24"/>
          <w:lang w:val="en-US" w:eastAsia="zh-CN"/>
        </w:rPr>
        <w:t>GB36600中一类用地筛选值</w:t>
      </w:r>
      <w:r>
        <w:rPr>
          <w:rFonts w:hint="default" w:ascii="Times New Roman" w:hAnsi="Times New Roman" w:eastAsia="仿宋" w:cs="Times New Roman"/>
          <w:color w:val="auto"/>
          <w:sz w:val="24"/>
          <w:szCs w:val="24"/>
          <w:lang w:val="en-US" w:eastAsia="zh-CN"/>
        </w:rPr>
        <w:t>土壤环境质量要求，可用于后续地块利用。</w:t>
      </w:r>
    </w:p>
    <w:p w14:paraId="424DF5D8">
      <w:pPr>
        <w:pStyle w:val="7"/>
        <w:rPr>
          <w:rFonts w:hint="default" w:ascii="Times New Roman" w:hAnsi="Times New Roman" w:eastAsia="仿宋" w:cs="Times New Roman"/>
          <w:color w:val="auto"/>
          <w:lang w:val="en-US" w:eastAsia="zh-CN"/>
        </w:rPr>
      </w:pPr>
    </w:p>
    <w:p w14:paraId="6B5EC16C">
      <w:pPr>
        <w:pStyle w:val="5"/>
        <w:rPr>
          <w:rFonts w:hint="default" w:ascii="Times New Roman" w:hAnsi="Times New Roman" w:eastAsia="仿宋" w:cs="Times New Roman"/>
          <w:color w:val="auto"/>
          <w:lang w:val="en-US" w:eastAsia="zh-CN"/>
        </w:rPr>
        <w:sectPr>
          <w:headerReference r:id="rId14"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1B3C59C2">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color w:val="auto"/>
          <w:sz w:val="36"/>
          <w:szCs w:val="36"/>
        </w:rPr>
      </w:pPr>
      <w:r>
        <w:rPr>
          <w:rFonts w:hint="default" w:ascii="Times New Roman" w:hAnsi="Times New Roman" w:eastAsia="仿宋" w:cs="Times New Roman"/>
          <w:b/>
          <w:bCs/>
          <w:color w:val="auto"/>
          <w:sz w:val="36"/>
          <w:szCs w:val="36"/>
        </w:rPr>
        <w:t>目录</w:t>
      </w:r>
    </w:p>
    <w:sdt>
      <w:sdtPr>
        <w:rPr>
          <w:rFonts w:hint="default" w:ascii="Times New Roman" w:hAnsi="Times New Roman" w:eastAsia="仿宋" w:cs="Times New Roman"/>
          <w:color w:val="auto"/>
          <w:kern w:val="2"/>
          <w:sz w:val="21"/>
          <w:lang w:val="en-US" w:eastAsia="zh-CN" w:bidi="ar-SA"/>
        </w:rPr>
        <w:id w:val="147460757"/>
        <w15:color w:val="DBDBDB"/>
        <w:docPartObj>
          <w:docPartGallery w:val="Table of Contents"/>
          <w:docPartUnique/>
        </w:docPartObj>
      </w:sdtPr>
      <w:sdtEndPr>
        <w:rPr>
          <w:rFonts w:hint="default" w:ascii="Times New Roman" w:hAnsi="Times New Roman" w:eastAsia="仿宋" w:cs="Times New Roman"/>
          <w:color w:val="auto"/>
          <w:kern w:val="2"/>
          <w:sz w:val="24"/>
          <w:lang w:val="en-US" w:eastAsia="zh-CN" w:bidi="ar-SA"/>
        </w:rPr>
      </w:sdtEndPr>
      <w:sdtContent>
        <w:p w14:paraId="3A9C5BC9">
          <w:pPr>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eastAsia="仿宋" w:cs="Times New Roman"/>
              <w:color w:val="auto"/>
            </w:rPr>
          </w:pPr>
          <w:bookmarkStart w:id="0" w:name="_Toc27719"/>
        </w:p>
        <w:p w14:paraId="63CD15F9">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color w:val="auto"/>
            </w:rPr>
            <w:instrText xml:space="preserve">TOC \o "1-2" \h \u </w:instrText>
          </w:r>
          <w:r>
            <w:rPr>
              <w:rFonts w:hint="default" w:ascii="Times New Roman" w:hAnsi="Times New Roman" w:eastAsia="仿宋" w:cs="Times New Roman"/>
              <w:color w:val="auto"/>
            </w:rPr>
            <w:fldChar w:fldCharType="separate"/>
          </w: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_Toc15092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1 前言</w:t>
          </w:r>
          <w:r>
            <w:tab/>
          </w:r>
          <w:r>
            <w:fldChar w:fldCharType="begin"/>
          </w:r>
          <w:r>
            <w:instrText xml:space="preserve"> PAGEREF _Toc15092 \h </w:instrText>
          </w:r>
          <w:r>
            <w:fldChar w:fldCharType="separate"/>
          </w:r>
          <w:r>
            <w:t>1</w:t>
          </w:r>
          <w:r>
            <w:fldChar w:fldCharType="end"/>
          </w:r>
          <w:r>
            <w:rPr>
              <w:rFonts w:hint="default" w:ascii="Times New Roman" w:hAnsi="Times New Roman" w:eastAsia="仿宋" w:cs="Times New Roman"/>
              <w:color w:val="auto"/>
            </w:rPr>
            <w:fldChar w:fldCharType="end"/>
          </w:r>
        </w:p>
        <w:p w14:paraId="40759BD7">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_Toc30586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2 概述</w:t>
          </w:r>
          <w:r>
            <w:tab/>
          </w:r>
          <w:r>
            <w:fldChar w:fldCharType="begin"/>
          </w:r>
          <w:r>
            <w:instrText xml:space="preserve"> PAGEREF _Toc30586 \h </w:instrText>
          </w:r>
          <w:r>
            <w:fldChar w:fldCharType="separate"/>
          </w:r>
          <w:r>
            <w:t>2</w:t>
          </w:r>
          <w:r>
            <w:fldChar w:fldCharType="end"/>
          </w:r>
          <w:r>
            <w:rPr>
              <w:rFonts w:hint="default" w:ascii="Times New Roman" w:hAnsi="Times New Roman" w:eastAsia="仿宋" w:cs="Times New Roman"/>
              <w:color w:val="auto"/>
            </w:rPr>
            <w:fldChar w:fldCharType="end"/>
          </w:r>
        </w:p>
        <w:p w14:paraId="36E4A9FB">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_Toc4600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2.1</w:t>
          </w:r>
          <w:r>
            <w:rPr>
              <w:rFonts w:hint="default" w:ascii="Times New Roman" w:hAnsi="Times New Roman" w:eastAsia="仿宋" w:cs="Times New Roman"/>
              <w:lang w:val="en-US"/>
            </w:rPr>
            <w:t>调查目的和原则</w:t>
          </w:r>
          <w:r>
            <w:tab/>
          </w:r>
          <w:r>
            <w:fldChar w:fldCharType="begin"/>
          </w:r>
          <w:r>
            <w:instrText xml:space="preserve"> PAGEREF _Toc4600 \h </w:instrText>
          </w:r>
          <w:r>
            <w:fldChar w:fldCharType="separate"/>
          </w:r>
          <w:r>
            <w:t>2</w:t>
          </w:r>
          <w:r>
            <w:fldChar w:fldCharType="end"/>
          </w:r>
          <w:r>
            <w:rPr>
              <w:rFonts w:hint="default" w:ascii="Times New Roman" w:hAnsi="Times New Roman" w:eastAsia="仿宋" w:cs="Times New Roman"/>
              <w:color w:val="auto"/>
            </w:rPr>
            <w:fldChar w:fldCharType="end"/>
          </w:r>
        </w:p>
        <w:p w14:paraId="0300F369">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_Toc29436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2.2工作流程与内容</w:t>
          </w:r>
          <w:r>
            <w:tab/>
          </w:r>
          <w:r>
            <w:fldChar w:fldCharType="begin"/>
          </w:r>
          <w:r>
            <w:instrText xml:space="preserve"> PAGEREF _Toc29436 \h </w:instrText>
          </w:r>
          <w:r>
            <w:fldChar w:fldCharType="separate"/>
          </w:r>
          <w:r>
            <w:t>2</w:t>
          </w:r>
          <w:r>
            <w:fldChar w:fldCharType="end"/>
          </w:r>
          <w:r>
            <w:rPr>
              <w:rFonts w:hint="default" w:ascii="Times New Roman" w:hAnsi="Times New Roman" w:eastAsia="仿宋" w:cs="Times New Roman"/>
              <w:color w:val="auto"/>
            </w:rPr>
            <w:fldChar w:fldCharType="end"/>
          </w:r>
        </w:p>
        <w:p w14:paraId="04285CB8">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_Toc7268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2.3调查范围</w:t>
          </w:r>
          <w:r>
            <w:tab/>
          </w:r>
          <w:r>
            <w:fldChar w:fldCharType="begin"/>
          </w:r>
          <w:r>
            <w:instrText xml:space="preserve"> PAGEREF _Toc7268 \h </w:instrText>
          </w:r>
          <w:r>
            <w:fldChar w:fldCharType="separate"/>
          </w:r>
          <w:r>
            <w:t>5</w:t>
          </w:r>
          <w:r>
            <w:fldChar w:fldCharType="end"/>
          </w:r>
          <w:r>
            <w:rPr>
              <w:rFonts w:hint="default" w:ascii="Times New Roman" w:hAnsi="Times New Roman" w:eastAsia="仿宋" w:cs="Times New Roman"/>
              <w:color w:val="auto"/>
            </w:rPr>
            <w:fldChar w:fldCharType="end"/>
          </w:r>
        </w:p>
        <w:p w14:paraId="097DCAE6">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_Toc24834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2.4调查与评估依据</w:t>
          </w:r>
          <w:r>
            <w:tab/>
          </w:r>
          <w:r>
            <w:fldChar w:fldCharType="begin"/>
          </w:r>
          <w:r>
            <w:instrText xml:space="preserve"> PAGEREF _Toc24834 \h </w:instrText>
          </w:r>
          <w:r>
            <w:fldChar w:fldCharType="separate"/>
          </w:r>
          <w:r>
            <w:t>8</w:t>
          </w:r>
          <w:r>
            <w:fldChar w:fldCharType="end"/>
          </w:r>
          <w:r>
            <w:rPr>
              <w:rFonts w:hint="default" w:ascii="Times New Roman" w:hAnsi="Times New Roman" w:eastAsia="仿宋" w:cs="Times New Roman"/>
              <w:color w:val="auto"/>
            </w:rPr>
            <w:fldChar w:fldCharType="end"/>
          </w:r>
        </w:p>
        <w:p w14:paraId="71F98DA2">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_Toc7706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 地块概况</w:t>
          </w:r>
          <w:r>
            <w:tab/>
          </w:r>
          <w:r>
            <w:fldChar w:fldCharType="begin"/>
          </w:r>
          <w:r>
            <w:instrText xml:space="preserve"> PAGEREF _Toc7706 \h </w:instrText>
          </w:r>
          <w:r>
            <w:fldChar w:fldCharType="separate"/>
          </w:r>
          <w:r>
            <w:t>10</w:t>
          </w:r>
          <w:r>
            <w:fldChar w:fldCharType="end"/>
          </w:r>
          <w:r>
            <w:rPr>
              <w:rFonts w:hint="default" w:ascii="Times New Roman" w:hAnsi="Times New Roman" w:eastAsia="仿宋" w:cs="Times New Roman"/>
              <w:color w:val="auto"/>
            </w:rPr>
            <w:fldChar w:fldCharType="end"/>
          </w:r>
        </w:p>
        <w:p w14:paraId="456CDD46">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_Toc7594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3.1 区域环境概况</w:t>
          </w:r>
          <w:r>
            <w:tab/>
          </w:r>
          <w:r>
            <w:fldChar w:fldCharType="begin"/>
          </w:r>
          <w:r>
            <w:instrText xml:space="preserve"> PAGEREF _Toc7594 \h </w:instrText>
          </w:r>
          <w:r>
            <w:fldChar w:fldCharType="separate"/>
          </w:r>
          <w:r>
            <w:t>10</w:t>
          </w:r>
          <w:r>
            <w:fldChar w:fldCharType="end"/>
          </w:r>
          <w:r>
            <w:rPr>
              <w:rFonts w:hint="default" w:ascii="Times New Roman" w:hAnsi="Times New Roman" w:eastAsia="仿宋" w:cs="Times New Roman"/>
              <w:color w:val="auto"/>
            </w:rPr>
            <w:fldChar w:fldCharType="end"/>
          </w:r>
        </w:p>
        <w:p w14:paraId="67DDB97E">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_Toc13150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3.2 敏感目标</w:t>
          </w:r>
          <w:r>
            <w:tab/>
          </w:r>
          <w:r>
            <w:fldChar w:fldCharType="begin"/>
          </w:r>
          <w:r>
            <w:instrText xml:space="preserve"> PAGEREF _Toc13150 \h </w:instrText>
          </w:r>
          <w:r>
            <w:fldChar w:fldCharType="separate"/>
          </w:r>
          <w:r>
            <w:t>18</w:t>
          </w:r>
          <w:r>
            <w:fldChar w:fldCharType="end"/>
          </w:r>
          <w:r>
            <w:rPr>
              <w:rFonts w:hint="default" w:ascii="Times New Roman" w:hAnsi="Times New Roman" w:eastAsia="仿宋" w:cs="Times New Roman"/>
              <w:color w:val="auto"/>
            </w:rPr>
            <w:fldChar w:fldCharType="end"/>
          </w:r>
        </w:p>
        <w:p w14:paraId="7C676495">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_Toc19015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3.3 地块现状和历史</w:t>
          </w:r>
          <w:r>
            <w:tab/>
          </w:r>
          <w:r>
            <w:fldChar w:fldCharType="begin"/>
          </w:r>
          <w:r>
            <w:instrText xml:space="preserve"> PAGEREF _Toc19015 \h </w:instrText>
          </w:r>
          <w:r>
            <w:fldChar w:fldCharType="separate"/>
          </w:r>
          <w:r>
            <w:t>20</w:t>
          </w:r>
          <w:r>
            <w:fldChar w:fldCharType="end"/>
          </w:r>
          <w:r>
            <w:rPr>
              <w:rFonts w:hint="default" w:ascii="Times New Roman" w:hAnsi="Times New Roman" w:eastAsia="仿宋" w:cs="Times New Roman"/>
              <w:color w:val="auto"/>
            </w:rPr>
            <w:fldChar w:fldCharType="end"/>
          </w:r>
        </w:p>
        <w:p w14:paraId="0E3FFA8B">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_Toc32236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3.4 周边地块的现状和历史</w:t>
          </w:r>
          <w:r>
            <w:tab/>
          </w:r>
          <w:r>
            <w:fldChar w:fldCharType="begin"/>
          </w:r>
          <w:r>
            <w:instrText xml:space="preserve"> PAGEREF _Toc32236 \h </w:instrText>
          </w:r>
          <w:r>
            <w:fldChar w:fldCharType="separate"/>
          </w:r>
          <w:r>
            <w:t>29</w:t>
          </w:r>
          <w:r>
            <w:fldChar w:fldCharType="end"/>
          </w:r>
          <w:r>
            <w:rPr>
              <w:rFonts w:hint="default" w:ascii="Times New Roman" w:hAnsi="Times New Roman" w:eastAsia="仿宋" w:cs="Times New Roman"/>
              <w:color w:val="auto"/>
            </w:rPr>
            <w:fldChar w:fldCharType="end"/>
          </w:r>
        </w:p>
        <w:p w14:paraId="5D9B46D5">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_Toc14477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3.5地块规划用途</w:t>
          </w:r>
          <w:r>
            <w:tab/>
          </w:r>
          <w:r>
            <w:fldChar w:fldCharType="begin"/>
          </w:r>
          <w:r>
            <w:instrText xml:space="preserve"> PAGEREF _Toc14477 \h </w:instrText>
          </w:r>
          <w:r>
            <w:fldChar w:fldCharType="separate"/>
          </w:r>
          <w:r>
            <w:t>49</w:t>
          </w:r>
          <w:r>
            <w:fldChar w:fldCharType="end"/>
          </w:r>
          <w:r>
            <w:rPr>
              <w:rFonts w:hint="default" w:ascii="Times New Roman" w:hAnsi="Times New Roman" w:eastAsia="仿宋" w:cs="Times New Roman"/>
              <w:color w:val="auto"/>
            </w:rPr>
            <w:fldChar w:fldCharType="end"/>
          </w:r>
        </w:p>
        <w:p w14:paraId="5903FA99">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_Toc3051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4 资料分析</w:t>
          </w:r>
          <w:r>
            <w:tab/>
          </w:r>
          <w:r>
            <w:fldChar w:fldCharType="begin"/>
          </w:r>
          <w:r>
            <w:instrText xml:space="preserve"> PAGEREF _Toc3051 \h </w:instrText>
          </w:r>
          <w:r>
            <w:fldChar w:fldCharType="separate"/>
          </w:r>
          <w:r>
            <w:t>51</w:t>
          </w:r>
          <w:r>
            <w:fldChar w:fldCharType="end"/>
          </w:r>
          <w:r>
            <w:rPr>
              <w:rFonts w:hint="default" w:ascii="Times New Roman" w:hAnsi="Times New Roman" w:eastAsia="仿宋" w:cs="Times New Roman"/>
              <w:color w:val="auto"/>
            </w:rPr>
            <w:fldChar w:fldCharType="end"/>
          </w:r>
        </w:p>
        <w:p w14:paraId="3F51FA35">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_Toc15426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4.1 地块资料收集和分析</w:t>
          </w:r>
          <w:r>
            <w:tab/>
          </w:r>
          <w:r>
            <w:fldChar w:fldCharType="begin"/>
          </w:r>
          <w:r>
            <w:instrText xml:space="preserve"> PAGEREF _Toc15426 \h </w:instrText>
          </w:r>
          <w:r>
            <w:fldChar w:fldCharType="separate"/>
          </w:r>
          <w:r>
            <w:t>51</w:t>
          </w:r>
          <w:r>
            <w:fldChar w:fldCharType="end"/>
          </w:r>
          <w:r>
            <w:rPr>
              <w:rFonts w:hint="default" w:ascii="Times New Roman" w:hAnsi="Times New Roman" w:eastAsia="仿宋" w:cs="Times New Roman"/>
              <w:color w:val="auto"/>
            </w:rPr>
            <w:fldChar w:fldCharType="end"/>
          </w:r>
        </w:p>
        <w:p w14:paraId="31B0EDAC">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_Toc20311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 现场踏勘和人员访谈</w:t>
          </w:r>
          <w:r>
            <w:tab/>
          </w:r>
          <w:r>
            <w:fldChar w:fldCharType="begin"/>
          </w:r>
          <w:r>
            <w:instrText xml:space="preserve"> PAGEREF _Toc20311 \h </w:instrText>
          </w:r>
          <w:r>
            <w:fldChar w:fldCharType="separate"/>
          </w:r>
          <w:r>
            <w:t>52</w:t>
          </w:r>
          <w:r>
            <w:fldChar w:fldCharType="end"/>
          </w:r>
          <w:r>
            <w:rPr>
              <w:rFonts w:hint="default" w:ascii="Times New Roman" w:hAnsi="Times New Roman" w:eastAsia="仿宋" w:cs="Times New Roman"/>
              <w:color w:val="auto"/>
            </w:rPr>
            <w:fldChar w:fldCharType="end"/>
          </w:r>
        </w:p>
        <w:p w14:paraId="42269F0A">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_Toc32636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5.1有毒有害物质的储存、使用和处置情况分析</w:t>
          </w:r>
          <w:r>
            <w:tab/>
          </w:r>
          <w:r>
            <w:fldChar w:fldCharType="begin"/>
          </w:r>
          <w:r>
            <w:instrText xml:space="preserve"> PAGEREF _Toc32636 \h </w:instrText>
          </w:r>
          <w:r>
            <w:fldChar w:fldCharType="separate"/>
          </w:r>
          <w:r>
            <w:t>54</w:t>
          </w:r>
          <w:r>
            <w:fldChar w:fldCharType="end"/>
          </w:r>
          <w:r>
            <w:rPr>
              <w:rFonts w:hint="default" w:ascii="Times New Roman" w:hAnsi="Times New Roman" w:eastAsia="仿宋" w:cs="Times New Roman"/>
              <w:color w:val="auto"/>
            </w:rPr>
            <w:fldChar w:fldCharType="end"/>
          </w:r>
        </w:p>
        <w:p w14:paraId="60DDB18B">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_Toc29140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5.2各类槽罐内的物质和泄漏评价</w:t>
          </w:r>
          <w:r>
            <w:tab/>
          </w:r>
          <w:r>
            <w:fldChar w:fldCharType="begin"/>
          </w:r>
          <w:r>
            <w:instrText xml:space="preserve"> PAGEREF _Toc29140 \h </w:instrText>
          </w:r>
          <w:r>
            <w:fldChar w:fldCharType="separate"/>
          </w:r>
          <w:r>
            <w:t>54</w:t>
          </w:r>
          <w:r>
            <w:fldChar w:fldCharType="end"/>
          </w:r>
          <w:r>
            <w:rPr>
              <w:rFonts w:hint="default" w:ascii="Times New Roman" w:hAnsi="Times New Roman" w:eastAsia="仿宋" w:cs="Times New Roman"/>
              <w:color w:val="auto"/>
            </w:rPr>
            <w:fldChar w:fldCharType="end"/>
          </w:r>
        </w:p>
        <w:p w14:paraId="088E6994">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_Toc5543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5.3固体废物和危险废物的处理评价</w:t>
          </w:r>
          <w:r>
            <w:tab/>
          </w:r>
          <w:r>
            <w:fldChar w:fldCharType="begin"/>
          </w:r>
          <w:r>
            <w:instrText xml:space="preserve"> PAGEREF _Toc5543 \h </w:instrText>
          </w:r>
          <w:r>
            <w:fldChar w:fldCharType="separate"/>
          </w:r>
          <w:r>
            <w:t>54</w:t>
          </w:r>
          <w:r>
            <w:fldChar w:fldCharType="end"/>
          </w:r>
          <w:r>
            <w:rPr>
              <w:rFonts w:hint="default" w:ascii="Times New Roman" w:hAnsi="Times New Roman" w:eastAsia="仿宋" w:cs="Times New Roman"/>
              <w:color w:val="auto"/>
            </w:rPr>
            <w:fldChar w:fldCharType="end"/>
          </w:r>
        </w:p>
        <w:p w14:paraId="1A74C1CD">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_Toc28685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5.4管线、沟渠泄漏评价</w:t>
          </w:r>
          <w:r>
            <w:tab/>
          </w:r>
          <w:r>
            <w:fldChar w:fldCharType="begin"/>
          </w:r>
          <w:r>
            <w:instrText xml:space="preserve"> PAGEREF _Toc28685 \h </w:instrText>
          </w:r>
          <w:r>
            <w:fldChar w:fldCharType="separate"/>
          </w:r>
          <w:r>
            <w:t>54</w:t>
          </w:r>
          <w:r>
            <w:fldChar w:fldCharType="end"/>
          </w:r>
          <w:r>
            <w:rPr>
              <w:rFonts w:hint="default" w:ascii="Times New Roman" w:hAnsi="Times New Roman" w:eastAsia="仿宋" w:cs="Times New Roman"/>
              <w:color w:val="auto"/>
            </w:rPr>
            <w:fldChar w:fldCharType="end"/>
          </w:r>
        </w:p>
        <w:p w14:paraId="1947518C">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_Toc11245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5.5地块现存构筑物</w:t>
          </w:r>
          <w:r>
            <w:tab/>
          </w:r>
          <w:r>
            <w:fldChar w:fldCharType="begin"/>
          </w:r>
          <w:r>
            <w:instrText xml:space="preserve"> PAGEREF _Toc11245 \h </w:instrText>
          </w:r>
          <w:r>
            <w:fldChar w:fldCharType="separate"/>
          </w:r>
          <w:r>
            <w:t>54</w:t>
          </w:r>
          <w:r>
            <w:fldChar w:fldCharType="end"/>
          </w:r>
          <w:r>
            <w:rPr>
              <w:rFonts w:hint="default" w:ascii="Times New Roman" w:hAnsi="Times New Roman" w:eastAsia="仿宋" w:cs="Times New Roman"/>
              <w:color w:val="auto"/>
            </w:rPr>
            <w:fldChar w:fldCharType="end"/>
          </w:r>
        </w:p>
        <w:p w14:paraId="48AA03E9">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_Toc263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5.6 土壤样品快速检测情况</w:t>
          </w:r>
          <w:r>
            <w:tab/>
          </w:r>
          <w:r>
            <w:fldChar w:fldCharType="begin"/>
          </w:r>
          <w:r>
            <w:instrText xml:space="preserve"> PAGEREF _Toc263 \h </w:instrText>
          </w:r>
          <w:r>
            <w:fldChar w:fldCharType="separate"/>
          </w:r>
          <w:r>
            <w:t>54</w:t>
          </w:r>
          <w:r>
            <w:fldChar w:fldCharType="end"/>
          </w:r>
          <w:r>
            <w:rPr>
              <w:rFonts w:hint="default" w:ascii="Times New Roman" w:hAnsi="Times New Roman" w:eastAsia="仿宋" w:cs="Times New Roman"/>
              <w:color w:val="auto"/>
            </w:rPr>
            <w:fldChar w:fldCharType="end"/>
          </w:r>
        </w:p>
        <w:p w14:paraId="4512C021">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_Toc27066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5.7 人员访谈</w:t>
          </w:r>
          <w:r>
            <w:tab/>
          </w:r>
          <w:r>
            <w:fldChar w:fldCharType="begin"/>
          </w:r>
          <w:r>
            <w:instrText xml:space="preserve"> PAGEREF _Toc27066 \h </w:instrText>
          </w:r>
          <w:r>
            <w:fldChar w:fldCharType="separate"/>
          </w:r>
          <w:r>
            <w:t>62</w:t>
          </w:r>
          <w:r>
            <w:fldChar w:fldCharType="end"/>
          </w:r>
          <w:r>
            <w:rPr>
              <w:rFonts w:hint="default" w:ascii="Times New Roman" w:hAnsi="Times New Roman" w:eastAsia="仿宋" w:cs="Times New Roman"/>
              <w:color w:val="auto"/>
            </w:rPr>
            <w:fldChar w:fldCharType="end"/>
          </w:r>
        </w:p>
        <w:p w14:paraId="63983C26">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_Toc12561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6 结果与分析</w:t>
          </w:r>
          <w:r>
            <w:tab/>
          </w:r>
          <w:r>
            <w:fldChar w:fldCharType="begin"/>
          </w:r>
          <w:r>
            <w:instrText xml:space="preserve"> PAGEREF _Toc12561 \h </w:instrText>
          </w:r>
          <w:r>
            <w:fldChar w:fldCharType="separate"/>
          </w:r>
          <w:r>
            <w:t>68</w:t>
          </w:r>
          <w:r>
            <w:fldChar w:fldCharType="end"/>
          </w:r>
          <w:r>
            <w:rPr>
              <w:rFonts w:hint="default" w:ascii="Times New Roman" w:hAnsi="Times New Roman" w:eastAsia="仿宋" w:cs="Times New Roman"/>
              <w:color w:val="auto"/>
            </w:rPr>
            <w:fldChar w:fldCharType="end"/>
          </w:r>
        </w:p>
        <w:p w14:paraId="76868197">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_Toc27241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6.1 结果分析</w:t>
          </w:r>
          <w:r>
            <w:tab/>
          </w:r>
          <w:r>
            <w:fldChar w:fldCharType="begin"/>
          </w:r>
          <w:r>
            <w:instrText xml:space="preserve"> PAGEREF _Toc27241 \h </w:instrText>
          </w:r>
          <w:r>
            <w:fldChar w:fldCharType="separate"/>
          </w:r>
          <w:r>
            <w:t>68</w:t>
          </w:r>
          <w:r>
            <w:fldChar w:fldCharType="end"/>
          </w:r>
          <w:r>
            <w:rPr>
              <w:rFonts w:hint="default" w:ascii="Times New Roman" w:hAnsi="Times New Roman" w:eastAsia="仿宋" w:cs="Times New Roman"/>
              <w:color w:val="auto"/>
            </w:rPr>
            <w:fldChar w:fldCharType="end"/>
          </w:r>
        </w:p>
        <w:p w14:paraId="2AB9A55B">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_Toc5435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6.2 不确定分析</w:t>
          </w:r>
          <w:r>
            <w:tab/>
          </w:r>
          <w:r>
            <w:fldChar w:fldCharType="begin"/>
          </w:r>
          <w:r>
            <w:instrText xml:space="preserve"> PAGEREF _Toc5435 \h </w:instrText>
          </w:r>
          <w:r>
            <w:fldChar w:fldCharType="separate"/>
          </w:r>
          <w:r>
            <w:t>69</w:t>
          </w:r>
          <w:r>
            <w:fldChar w:fldCharType="end"/>
          </w:r>
          <w:r>
            <w:rPr>
              <w:rFonts w:hint="default" w:ascii="Times New Roman" w:hAnsi="Times New Roman" w:eastAsia="仿宋" w:cs="Times New Roman"/>
              <w:color w:val="auto"/>
            </w:rPr>
            <w:fldChar w:fldCharType="end"/>
          </w:r>
        </w:p>
        <w:p w14:paraId="611B37C0">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_Toc16740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7 结论和建议</w:t>
          </w:r>
          <w:r>
            <w:tab/>
          </w:r>
          <w:r>
            <w:fldChar w:fldCharType="begin"/>
          </w:r>
          <w:r>
            <w:instrText xml:space="preserve"> PAGEREF _Toc16740 \h </w:instrText>
          </w:r>
          <w:r>
            <w:fldChar w:fldCharType="separate"/>
          </w:r>
          <w:r>
            <w:t>70</w:t>
          </w:r>
          <w:r>
            <w:fldChar w:fldCharType="end"/>
          </w:r>
          <w:r>
            <w:rPr>
              <w:rFonts w:hint="default" w:ascii="Times New Roman" w:hAnsi="Times New Roman" w:eastAsia="仿宋" w:cs="Times New Roman"/>
              <w:color w:val="auto"/>
            </w:rPr>
            <w:fldChar w:fldCharType="end"/>
          </w:r>
        </w:p>
        <w:p w14:paraId="66DA16A4">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_Toc25465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7.1 结论</w:t>
          </w:r>
          <w:r>
            <w:tab/>
          </w:r>
          <w:r>
            <w:fldChar w:fldCharType="begin"/>
          </w:r>
          <w:r>
            <w:instrText xml:space="preserve"> PAGEREF _Toc25465 \h </w:instrText>
          </w:r>
          <w:r>
            <w:fldChar w:fldCharType="separate"/>
          </w:r>
          <w:r>
            <w:t>70</w:t>
          </w:r>
          <w:r>
            <w:fldChar w:fldCharType="end"/>
          </w:r>
          <w:r>
            <w:rPr>
              <w:rFonts w:hint="default" w:ascii="Times New Roman" w:hAnsi="Times New Roman" w:eastAsia="仿宋" w:cs="Times New Roman"/>
              <w:color w:val="auto"/>
            </w:rPr>
            <w:fldChar w:fldCharType="end"/>
          </w:r>
        </w:p>
        <w:p w14:paraId="06AAAC02">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_Toc17469 </w:instrText>
          </w:r>
          <w:r>
            <w:rPr>
              <w:rFonts w:hint="default" w:ascii="Times New Roman" w:hAnsi="Times New Roman" w:eastAsia="仿宋" w:cs="Times New Roman"/>
            </w:rPr>
            <w:fldChar w:fldCharType="separate"/>
          </w:r>
          <w:r>
            <w:rPr>
              <w:rFonts w:hint="default" w:ascii="Times New Roman" w:hAnsi="Times New Roman" w:eastAsia="仿宋" w:cs="Times New Roman"/>
              <w:lang w:val="en-US" w:eastAsia="zh-CN"/>
            </w:rPr>
            <w:t>7.2 建议</w:t>
          </w:r>
          <w:r>
            <w:tab/>
          </w:r>
          <w:r>
            <w:fldChar w:fldCharType="begin"/>
          </w:r>
          <w:r>
            <w:instrText xml:space="preserve"> PAGEREF _Toc17469 \h </w:instrText>
          </w:r>
          <w:r>
            <w:fldChar w:fldCharType="separate"/>
          </w:r>
          <w:r>
            <w:t>70</w:t>
          </w:r>
          <w:r>
            <w:fldChar w:fldCharType="end"/>
          </w:r>
          <w:r>
            <w:rPr>
              <w:rFonts w:hint="default" w:ascii="Times New Roman" w:hAnsi="Times New Roman" w:eastAsia="仿宋" w:cs="Times New Roman"/>
              <w:color w:val="auto"/>
            </w:rPr>
            <w:fldChar w:fldCharType="end"/>
          </w:r>
        </w:p>
        <w:p w14:paraId="6BF44F16">
          <w:pPr>
            <w:pStyle w:val="11"/>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_Toc23767 </w:instrText>
          </w:r>
          <w:r>
            <w:rPr>
              <w:rFonts w:hint="default" w:ascii="Times New Roman" w:hAnsi="Times New Roman" w:eastAsia="仿宋" w:cs="Times New Roman"/>
            </w:rPr>
            <w:fldChar w:fldCharType="separate"/>
          </w:r>
          <w:r>
            <w:rPr>
              <w:rFonts w:hint="default" w:ascii="Times New Roman" w:hAnsi="Times New Roman" w:eastAsia="仿宋" w:cs="Times New Roman"/>
              <w:bCs/>
              <w:lang w:val="en-US" w:eastAsia="zh-CN"/>
            </w:rPr>
            <w:t>附件</w:t>
          </w:r>
          <w:r>
            <w:tab/>
          </w:r>
          <w:r>
            <w:fldChar w:fldCharType="begin"/>
          </w:r>
          <w:r>
            <w:instrText xml:space="preserve"> PAGEREF _Toc23767 \h </w:instrText>
          </w:r>
          <w:r>
            <w:fldChar w:fldCharType="separate"/>
          </w:r>
          <w:r>
            <w:t>71</w:t>
          </w:r>
          <w:r>
            <w:fldChar w:fldCharType="end"/>
          </w:r>
          <w:r>
            <w:rPr>
              <w:rFonts w:hint="default" w:ascii="Times New Roman" w:hAnsi="Times New Roman" w:eastAsia="仿宋" w:cs="Times New Roman"/>
              <w:color w:val="auto"/>
            </w:rPr>
            <w:fldChar w:fldCharType="end"/>
          </w:r>
        </w:p>
        <w:p w14:paraId="0CEF8756">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_Toc29318 </w:instrText>
          </w:r>
          <w:r>
            <w:rPr>
              <w:rFonts w:hint="default" w:ascii="Times New Roman" w:hAnsi="Times New Roman" w:eastAsia="仿宋" w:cs="Times New Roman"/>
            </w:rPr>
            <w:fldChar w:fldCharType="separate"/>
          </w:r>
          <w:r>
            <w:rPr>
              <w:rFonts w:hint="default" w:ascii="Times New Roman" w:hAnsi="Times New Roman" w:eastAsia="仿宋" w:cs="Times New Roman"/>
              <w:bCs/>
              <w:szCs w:val="24"/>
              <w:lang w:val="en-US" w:eastAsia="zh-CN"/>
            </w:rPr>
            <w:t>附件1 地块红线图</w:t>
          </w:r>
          <w:r>
            <w:rPr>
              <w:rFonts w:hint="eastAsia" w:eastAsia="仿宋" w:cs="Times New Roman"/>
              <w:bCs/>
              <w:szCs w:val="24"/>
              <w:lang w:val="en-US" w:eastAsia="zh-CN"/>
            </w:rPr>
            <w:t>及规划</w:t>
          </w:r>
          <w:r>
            <w:tab/>
          </w:r>
          <w:r>
            <w:fldChar w:fldCharType="begin"/>
          </w:r>
          <w:r>
            <w:instrText xml:space="preserve"> PAGEREF _Toc29318 \h </w:instrText>
          </w:r>
          <w:r>
            <w:fldChar w:fldCharType="separate"/>
          </w:r>
          <w:r>
            <w:t>71</w:t>
          </w:r>
          <w:r>
            <w:fldChar w:fldCharType="end"/>
          </w:r>
          <w:r>
            <w:rPr>
              <w:rFonts w:hint="default" w:ascii="Times New Roman" w:hAnsi="Times New Roman" w:eastAsia="仿宋" w:cs="Times New Roman"/>
              <w:color w:val="auto"/>
            </w:rPr>
            <w:fldChar w:fldCharType="end"/>
          </w:r>
        </w:p>
        <w:p w14:paraId="1E96F269">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_Toc8819 </w:instrText>
          </w:r>
          <w:r>
            <w:rPr>
              <w:rFonts w:hint="default" w:ascii="Times New Roman" w:hAnsi="Times New Roman" w:eastAsia="仿宋" w:cs="Times New Roman"/>
            </w:rPr>
            <w:fldChar w:fldCharType="separate"/>
          </w:r>
          <w:r>
            <w:rPr>
              <w:rFonts w:hint="default" w:ascii="Times New Roman" w:hAnsi="Times New Roman" w:eastAsia="仿宋" w:cs="Times New Roman"/>
              <w:bCs/>
              <w:szCs w:val="24"/>
              <w:lang w:val="en-US" w:eastAsia="zh-CN"/>
            </w:rPr>
            <w:t>附件2 现场快筛记录</w:t>
          </w:r>
          <w:r>
            <w:tab/>
          </w:r>
          <w:r>
            <w:fldChar w:fldCharType="begin"/>
          </w:r>
          <w:r>
            <w:instrText xml:space="preserve"> PAGEREF _Toc8819 \h </w:instrText>
          </w:r>
          <w:r>
            <w:fldChar w:fldCharType="separate"/>
          </w:r>
          <w:r>
            <w:t>74</w:t>
          </w:r>
          <w:r>
            <w:fldChar w:fldCharType="end"/>
          </w:r>
          <w:r>
            <w:rPr>
              <w:rFonts w:hint="default" w:ascii="Times New Roman" w:hAnsi="Times New Roman" w:eastAsia="仿宋" w:cs="Times New Roman"/>
              <w:color w:val="auto"/>
            </w:rPr>
            <w:fldChar w:fldCharType="end"/>
          </w:r>
        </w:p>
        <w:p w14:paraId="1450C0B1">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_Toc20851 </w:instrText>
          </w:r>
          <w:r>
            <w:rPr>
              <w:rFonts w:hint="default" w:ascii="Times New Roman" w:hAnsi="Times New Roman" w:eastAsia="仿宋" w:cs="Times New Roman"/>
            </w:rPr>
            <w:fldChar w:fldCharType="separate"/>
          </w:r>
          <w:r>
            <w:rPr>
              <w:rFonts w:hint="default" w:ascii="Times New Roman" w:hAnsi="Times New Roman" w:eastAsia="仿宋" w:cs="Times New Roman"/>
              <w:bCs/>
              <w:lang w:val="en-US" w:eastAsia="zh-CN"/>
            </w:rPr>
            <w:t>附件4 快筛仪器校准证书</w:t>
          </w:r>
          <w:r>
            <w:tab/>
          </w:r>
          <w:r>
            <w:fldChar w:fldCharType="begin"/>
          </w:r>
          <w:r>
            <w:instrText xml:space="preserve"> PAGEREF _Toc20851 \h </w:instrText>
          </w:r>
          <w:r>
            <w:fldChar w:fldCharType="separate"/>
          </w:r>
          <w:r>
            <w:t>81</w:t>
          </w:r>
          <w:r>
            <w:fldChar w:fldCharType="end"/>
          </w:r>
          <w:r>
            <w:rPr>
              <w:rFonts w:hint="default" w:ascii="Times New Roman" w:hAnsi="Times New Roman" w:eastAsia="仿宋" w:cs="Times New Roman"/>
              <w:color w:val="auto"/>
            </w:rPr>
            <w:fldChar w:fldCharType="end"/>
          </w:r>
        </w:p>
        <w:p w14:paraId="754150C7">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_Toc4880 </w:instrText>
          </w:r>
          <w:r>
            <w:rPr>
              <w:rFonts w:hint="default" w:ascii="Times New Roman" w:hAnsi="Times New Roman" w:eastAsia="仿宋" w:cs="Times New Roman"/>
            </w:rPr>
            <w:fldChar w:fldCharType="separate"/>
          </w:r>
          <w:r>
            <w:rPr>
              <w:rFonts w:hint="default" w:ascii="Times New Roman" w:hAnsi="Times New Roman" w:eastAsia="仿宋" w:cs="Times New Roman"/>
              <w:bCs/>
              <w:szCs w:val="24"/>
              <w:lang w:val="en-US" w:eastAsia="zh-CN"/>
            </w:rPr>
            <w:t>附件5 周边企业环评批复/验收意见等文件</w:t>
          </w:r>
          <w:r>
            <w:tab/>
          </w:r>
          <w:r>
            <w:fldChar w:fldCharType="begin"/>
          </w:r>
          <w:r>
            <w:instrText xml:space="preserve"> PAGEREF _Toc4880 \h </w:instrText>
          </w:r>
          <w:r>
            <w:fldChar w:fldCharType="separate"/>
          </w:r>
          <w:r>
            <w:t>86</w:t>
          </w:r>
          <w:r>
            <w:fldChar w:fldCharType="end"/>
          </w:r>
          <w:r>
            <w:rPr>
              <w:rFonts w:hint="default" w:ascii="Times New Roman" w:hAnsi="Times New Roman" w:eastAsia="仿宋" w:cs="Times New Roman"/>
              <w:color w:val="auto"/>
            </w:rPr>
            <w:fldChar w:fldCharType="end"/>
          </w:r>
        </w:p>
        <w:p w14:paraId="1FAEB4DA">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_Toc397 </w:instrText>
          </w:r>
          <w:r>
            <w:rPr>
              <w:rFonts w:hint="default" w:ascii="Times New Roman" w:hAnsi="Times New Roman" w:eastAsia="仿宋" w:cs="Times New Roman"/>
            </w:rPr>
            <w:fldChar w:fldCharType="separate"/>
          </w:r>
          <w:r>
            <w:rPr>
              <w:rFonts w:hint="default" w:ascii="Times New Roman" w:hAnsi="Times New Roman" w:eastAsia="仿宋" w:cs="Times New Roman"/>
              <w:bCs/>
              <w:szCs w:val="24"/>
              <w:lang w:val="en-US" w:eastAsia="zh-CN"/>
            </w:rPr>
            <w:t>附件6 岩土工程勘察报告</w:t>
          </w:r>
          <w:r>
            <w:tab/>
          </w:r>
          <w:r>
            <w:fldChar w:fldCharType="begin"/>
          </w:r>
          <w:r>
            <w:instrText xml:space="preserve"> PAGEREF _Toc397 \h </w:instrText>
          </w:r>
          <w:r>
            <w:fldChar w:fldCharType="separate"/>
          </w:r>
          <w:r>
            <w:t>121</w:t>
          </w:r>
          <w:r>
            <w:fldChar w:fldCharType="end"/>
          </w:r>
          <w:r>
            <w:rPr>
              <w:rFonts w:hint="default" w:ascii="Times New Roman" w:hAnsi="Times New Roman" w:eastAsia="仿宋" w:cs="Times New Roman"/>
              <w:color w:val="auto"/>
            </w:rPr>
            <w:fldChar w:fldCharType="end"/>
          </w:r>
        </w:p>
        <w:p w14:paraId="04C33E97">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_Toc32390 </w:instrText>
          </w:r>
          <w:r>
            <w:rPr>
              <w:rFonts w:hint="default" w:ascii="Times New Roman" w:hAnsi="Times New Roman" w:eastAsia="仿宋" w:cs="Times New Roman"/>
            </w:rPr>
            <w:fldChar w:fldCharType="separate"/>
          </w:r>
          <w:r>
            <w:rPr>
              <w:rFonts w:hint="eastAsia" w:ascii="Times New Roman" w:hAnsi="Times New Roman" w:eastAsia="仿宋" w:cs="Times New Roman"/>
              <w:bCs/>
              <w:szCs w:val="24"/>
              <w:lang w:val="en-US" w:eastAsia="zh-CN"/>
            </w:rPr>
            <w:t>附件7 人员访谈</w:t>
          </w:r>
          <w:r>
            <w:tab/>
          </w:r>
          <w:r>
            <w:fldChar w:fldCharType="begin"/>
          </w:r>
          <w:r>
            <w:instrText xml:space="preserve"> PAGEREF _Toc32390 \h </w:instrText>
          </w:r>
          <w:r>
            <w:fldChar w:fldCharType="separate"/>
          </w:r>
          <w:r>
            <w:t>200</w:t>
          </w:r>
          <w:r>
            <w:fldChar w:fldCharType="end"/>
          </w:r>
          <w:r>
            <w:rPr>
              <w:rFonts w:hint="default" w:ascii="Times New Roman" w:hAnsi="Times New Roman" w:eastAsia="仿宋" w:cs="Times New Roman"/>
              <w:color w:val="auto"/>
            </w:rPr>
            <w:fldChar w:fldCharType="end"/>
          </w:r>
        </w:p>
        <w:p w14:paraId="36583F31">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_Toc18176 </w:instrText>
          </w:r>
          <w:r>
            <w:rPr>
              <w:rFonts w:hint="default" w:ascii="Times New Roman" w:hAnsi="Times New Roman" w:eastAsia="仿宋" w:cs="Times New Roman"/>
            </w:rPr>
            <w:fldChar w:fldCharType="separate"/>
          </w:r>
          <w:r>
            <w:rPr>
              <w:rFonts w:hint="eastAsia" w:ascii="Times New Roman" w:hAnsi="Times New Roman" w:eastAsia="仿宋" w:cs="Times New Roman"/>
              <w:bCs/>
              <w:szCs w:val="24"/>
              <w:lang w:val="en-US" w:eastAsia="zh-CN"/>
            </w:rPr>
            <w:t>附件</w:t>
          </w:r>
          <w:r>
            <w:rPr>
              <w:rFonts w:hint="eastAsia" w:eastAsia="仿宋" w:cs="Times New Roman"/>
              <w:bCs/>
              <w:szCs w:val="24"/>
              <w:lang w:val="en-US" w:eastAsia="zh-CN"/>
            </w:rPr>
            <w:t>8</w:t>
          </w:r>
          <w:r>
            <w:rPr>
              <w:rFonts w:hint="eastAsia" w:ascii="Times New Roman" w:hAnsi="Times New Roman" w:eastAsia="仿宋" w:cs="Times New Roman"/>
              <w:bCs/>
              <w:szCs w:val="24"/>
              <w:lang w:val="en-US" w:eastAsia="zh-CN"/>
            </w:rPr>
            <w:t xml:space="preserve"> </w:t>
          </w:r>
          <w:r>
            <w:rPr>
              <w:rFonts w:hint="eastAsia" w:eastAsia="仿宋" w:cs="Times New Roman"/>
              <w:bCs/>
              <w:szCs w:val="24"/>
              <w:lang w:val="en-US" w:eastAsia="zh-CN"/>
            </w:rPr>
            <w:t>情况说明</w:t>
          </w:r>
          <w:r>
            <w:tab/>
          </w:r>
          <w:r>
            <w:fldChar w:fldCharType="begin"/>
          </w:r>
          <w:r>
            <w:instrText xml:space="preserve"> PAGEREF _Toc18176 \h </w:instrText>
          </w:r>
          <w:r>
            <w:fldChar w:fldCharType="separate"/>
          </w:r>
          <w:r>
            <w:t>212</w:t>
          </w:r>
          <w:r>
            <w:fldChar w:fldCharType="end"/>
          </w:r>
          <w:r>
            <w:rPr>
              <w:rFonts w:hint="default" w:ascii="Times New Roman" w:hAnsi="Times New Roman" w:eastAsia="仿宋" w:cs="Times New Roman"/>
              <w:color w:val="auto"/>
            </w:rPr>
            <w:fldChar w:fldCharType="end"/>
          </w:r>
        </w:p>
        <w:p w14:paraId="2F426E51">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_Toc9554 </w:instrText>
          </w:r>
          <w:r>
            <w:rPr>
              <w:rFonts w:hint="default" w:ascii="Times New Roman" w:hAnsi="Times New Roman" w:eastAsia="仿宋" w:cs="Times New Roman"/>
            </w:rPr>
            <w:fldChar w:fldCharType="separate"/>
          </w:r>
          <w:r>
            <w:rPr>
              <w:rFonts w:hint="eastAsia" w:eastAsia="仿宋" w:cs="Times New Roman"/>
              <w:bCs/>
              <w:szCs w:val="24"/>
              <w:lang w:val="en-US" w:eastAsia="zh-CN"/>
            </w:rPr>
            <w:t>附件9 报告咨询意见</w:t>
          </w:r>
          <w:r>
            <w:tab/>
          </w:r>
          <w:r>
            <w:fldChar w:fldCharType="begin"/>
          </w:r>
          <w:r>
            <w:instrText xml:space="preserve"> PAGEREF _Toc9554 \h </w:instrText>
          </w:r>
          <w:r>
            <w:fldChar w:fldCharType="separate"/>
          </w:r>
          <w:r>
            <w:t>214</w:t>
          </w:r>
          <w:r>
            <w:fldChar w:fldCharType="end"/>
          </w:r>
          <w:r>
            <w:rPr>
              <w:rFonts w:hint="default" w:ascii="Times New Roman" w:hAnsi="Times New Roman" w:eastAsia="仿宋" w:cs="Times New Roman"/>
              <w:color w:val="auto"/>
            </w:rPr>
            <w:fldChar w:fldCharType="end"/>
          </w:r>
        </w:p>
        <w:p w14:paraId="1E9A977F">
          <w:pPr>
            <w:pStyle w:val="12"/>
            <w:tabs>
              <w:tab w:val="right" w:leader="dot" w:pos="8306"/>
            </w:tabs>
          </w:pPr>
          <w:r>
            <w:rPr>
              <w:rFonts w:hint="default" w:ascii="Times New Roman" w:hAnsi="Times New Roman" w:eastAsia="仿宋" w:cs="Times New Roman"/>
              <w:color w:val="auto"/>
            </w:rPr>
            <w:fldChar w:fldCharType="begin"/>
          </w:r>
          <w:r>
            <w:rPr>
              <w:rFonts w:hint="default" w:ascii="Times New Roman" w:hAnsi="Times New Roman" w:eastAsia="仿宋" w:cs="Times New Roman"/>
            </w:rPr>
            <w:instrText xml:space="preserve"> HYPERLINK \l _Toc16711 </w:instrText>
          </w:r>
          <w:r>
            <w:rPr>
              <w:rFonts w:hint="default" w:ascii="Times New Roman" w:hAnsi="Times New Roman" w:eastAsia="仿宋" w:cs="Times New Roman"/>
            </w:rPr>
            <w:fldChar w:fldCharType="separate"/>
          </w:r>
          <w:r>
            <w:rPr>
              <w:rFonts w:hint="eastAsia" w:eastAsia="仿宋" w:cs="Times New Roman"/>
              <w:bCs/>
              <w:szCs w:val="24"/>
              <w:lang w:val="en-US" w:eastAsia="zh-CN"/>
            </w:rPr>
            <w:t>附件10 专家复核意见</w:t>
          </w:r>
          <w:r>
            <w:tab/>
          </w:r>
          <w:r>
            <w:fldChar w:fldCharType="begin"/>
          </w:r>
          <w:r>
            <w:instrText xml:space="preserve"> PAGEREF _Toc16711 \h </w:instrText>
          </w:r>
          <w:r>
            <w:fldChar w:fldCharType="separate"/>
          </w:r>
          <w:r>
            <w:t>217</w:t>
          </w:r>
          <w:r>
            <w:fldChar w:fldCharType="end"/>
          </w:r>
          <w:r>
            <w:rPr>
              <w:rFonts w:hint="default" w:ascii="Times New Roman" w:hAnsi="Times New Roman" w:eastAsia="仿宋" w:cs="Times New Roman"/>
              <w:color w:val="auto"/>
            </w:rPr>
            <w:fldChar w:fldCharType="end"/>
          </w:r>
        </w:p>
        <w:p w14:paraId="102F7F2C">
          <w:pPr>
            <w:rPr>
              <w:rFonts w:hint="default" w:ascii="Times New Roman" w:hAnsi="Times New Roman" w:eastAsia="仿宋" w:cs="Times New Roman"/>
              <w:color w:val="auto"/>
            </w:rPr>
          </w:pPr>
          <w:r>
            <w:rPr>
              <w:rFonts w:hint="default" w:ascii="Times New Roman" w:hAnsi="Times New Roman" w:eastAsia="仿宋" w:cs="Times New Roman"/>
              <w:color w:val="auto"/>
            </w:rPr>
            <w:fldChar w:fldCharType="end"/>
          </w:r>
        </w:p>
      </w:sdtContent>
    </w:sdt>
    <w:bookmarkEnd w:id="0"/>
    <w:p w14:paraId="61EA9424">
      <w:pPr>
        <w:pStyle w:val="2"/>
        <w:keepNext w:val="0"/>
        <w:keepLines w:val="0"/>
        <w:widowControl w:val="0"/>
        <w:numPr>
          <w:ilvl w:val="0"/>
          <w:numId w:val="0"/>
        </w:numPr>
        <w:kinsoku/>
        <w:wordWrap/>
        <w:overflowPunct/>
        <w:topLinePunct w:val="0"/>
        <w:autoSpaceDE/>
        <w:autoSpaceDN/>
        <w:bidi w:val="0"/>
        <w:adjustRightInd/>
        <w:snapToGrid/>
        <w:spacing w:before="0" w:beforeLines="0" w:after="0" w:afterLines="0"/>
        <w:ind w:firstLine="0" w:firstLineChars="0"/>
        <w:jc w:val="left"/>
        <w:textAlignment w:val="auto"/>
        <w:rPr>
          <w:rFonts w:hint="default" w:ascii="Times New Roman" w:hAnsi="Times New Roman" w:eastAsia="仿宋" w:cs="Times New Roman"/>
          <w:color w:val="auto"/>
          <w:lang w:val="en-US" w:eastAsia="zh-CN"/>
        </w:rPr>
        <w:sectPr>
          <w:footerReference r:id="rId16"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bookmarkStart w:id="1" w:name="_Toc6103"/>
      <w:bookmarkStart w:id="2" w:name="_Toc3488"/>
      <w:bookmarkStart w:id="3" w:name="_Toc35010016"/>
    </w:p>
    <w:p w14:paraId="583E309E">
      <w:pPr>
        <w:pStyle w:val="2"/>
        <w:keepNext w:val="0"/>
        <w:keepLines w:val="0"/>
        <w:widowControl w:val="0"/>
        <w:numPr>
          <w:ilvl w:val="0"/>
          <w:numId w:val="0"/>
        </w:numPr>
        <w:kinsoku/>
        <w:wordWrap/>
        <w:overflowPunct/>
        <w:topLinePunct w:val="0"/>
        <w:autoSpaceDE/>
        <w:autoSpaceDN/>
        <w:bidi w:val="0"/>
        <w:adjustRightInd/>
        <w:snapToGrid/>
        <w:spacing w:before="0" w:beforeLines="0" w:after="0" w:afterLines="0"/>
        <w:jc w:val="both"/>
        <w:textAlignment w:val="auto"/>
        <w:rPr>
          <w:rFonts w:hint="default" w:ascii="Times New Roman" w:hAnsi="Times New Roman" w:eastAsia="仿宋" w:cs="Times New Roman"/>
          <w:color w:val="auto"/>
          <w:lang w:val="en-US" w:eastAsia="zh-CN"/>
        </w:rPr>
      </w:pPr>
      <w:bookmarkStart w:id="4" w:name="_Toc12189"/>
      <w:bookmarkStart w:id="5" w:name="_Toc15092"/>
      <w:r>
        <w:rPr>
          <w:rFonts w:hint="default" w:ascii="Times New Roman" w:hAnsi="Times New Roman" w:eastAsia="仿宋" w:cs="Times New Roman"/>
          <w:color w:val="auto"/>
          <w:lang w:val="en-US" w:eastAsia="zh-CN"/>
        </w:rPr>
        <w:t>1</w:t>
      </w:r>
      <w:bookmarkEnd w:id="1"/>
      <w:bookmarkEnd w:id="2"/>
      <w:bookmarkEnd w:id="3"/>
      <w:r>
        <w:rPr>
          <w:rFonts w:hint="default" w:ascii="Times New Roman" w:hAnsi="Times New Roman" w:eastAsia="仿宋" w:cs="Times New Roman"/>
          <w:color w:val="auto"/>
          <w:lang w:val="en-US" w:eastAsia="zh-CN"/>
        </w:rPr>
        <w:t xml:space="preserve"> 前言</w:t>
      </w:r>
      <w:bookmarkEnd w:id="4"/>
      <w:bookmarkEnd w:id="5"/>
    </w:p>
    <w:p w14:paraId="56FCEBF0">
      <w:pPr>
        <w:keepNext w:val="0"/>
        <w:keepLines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lang w:val="en-US" w:eastAsia="zh-CN"/>
        </w:rPr>
        <w:t>南通</w:t>
      </w:r>
      <w:r>
        <w:rPr>
          <w:rFonts w:hint="eastAsia" w:eastAsia="仿宋" w:cs="Times New Roman"/>
          <w:color w:val="auto"/>
          <w:lang w:val="en-US" w:eastAsia="zh-CN"/>
        </w:rPr>
        <w:t>市</w:t>
      </w:r>
      <w:r>
        <w:rPr>
          <w:rFonts w:hint="eastAsia" w:ascii="Times New Roman" w:hAnsi="Times New Roman" w:eastAsia="仿宋" w:cs="Times New Roman"/>
          <w:color w:val="auto"/>
          <w:lang w:val="en-US" w:eastAsia="zh-CN"/>
        </w:rPr>
        <w:t>通州区十总小学篮球场地块</w:t>
      </w:r>
      <w:r>
        <w:rPr>
          <w:rFonts w:hint="default" w:ascii="Times New Roman" w:hAnsi="Times New Roman" w:eastAsia="仿宋" w:cs="Times New Roman"/>
          <w:color w:val="auto"/>
          <w:sz w:val="24"/>
          <w:szCs w:val="24"/>
          <w:lang w:val="en-US" w:eastAsia="zh-CN"/>
        </w:rPr>
        <w:t>位于南通市通州区，项目红线呈“矩形”。本次调查地块总占地面积</w:t>
      </w:r>
      <w:r>
        <w:rPr>
          <w:rFonts w:hint="default" w:ascii="Times New Roman" w:hAnsi="Times New Roman" w:eastAsia="仿宋" w:cs="Times New Roman"/>
          <w:color w:val="auto"/>
          <w:lang w:val="en-US" w:eastAsia="zh-CN"/>
        </w:rPr>
        <w:t>为</w:t>
      </w:r>
      <w:r>
        <w:rPr>
          <w:rFonts w:hint="eastAsia" w:ascii="Times New Roman" w:hAnsi="Times New Roman" w:eastAsia="仿宋" w:cs="Times New Roman"/>
          <w:color w:val="auto"/>
          <w:lang w:val="en-US" w:eastAsia="zh-CN"/>
        </w:rPr>
        <w:t>2509</w:t>
      </w:r>
      <w:r>
        <w:rPr>
          <w:rFonts w:hint="default" w:ascii="Times New Roman" w:hAnsi="Times New Roman" w:eastAsia="仿宋" w:cs="Times New Roman"/>
          <w:color w:val="auto"/>
          <w:lang w:val="en-US" w:eastAsia="zh-CN"/>
        </w:rPr>
        <w:t>平方米</w:t>
      </w:r>
      <w:r>
        <w:rPr>
          <w:rFonts w:hint="default" w:ascii="Times New Roman" w:hAnsi="Times New Roman" w:eastAsia="仿宋" w:cs="Times New Roman"/>
          <w:color w:val="auto"/>
          <w:sz w:val="24"/>
          <w:szCs w:val="24"/>
          <w:lang w:val="en-US" w:eastAsia="zh-CN"/>
        </w:rPr>
        <w:t>。地块北至中片六总路，南至小河，西至空地，东至十总小学塑胶跑道。该地块地块目前用地性质为</w:t>
      </w:r>
      <w:r>
        <w:rPr>
          <w:rFonts w:hint="default" w:ascii="Times New Roman" w:hAnsi="Times New Roman" w:eastAsia="仿宋" w:cs="Times New Roman"/>
          <w:color w:val="auto"/>
          <w:lang w:val="en-US" w:eastAsia="zh-CN"/>
        </w:rPr>
        <w:t>农用地</w:t>
      </w:r>
      <w:r>
        <w:rPr>
          <w:rFonts w:hint="default" w:ascii="Times New Roman" w:hAnsi="Times New Roman" w:eastAsia="仿宋" w:cs="Times New Roman"/>
          <w:color w:val="auto"/>
          <w:sz w:val="24"/>
          <w:szCs w:val="24"/>
          <w:lang w:val="en-US" w:eastAsia="zh-CN"/>
        </w:rPr>
        <w:t>。根据《南通市通州区十总镇总体规划(2016-2030)》，</w:t>
      </w:r>
      <w:r>
        <w:rPr>
          <w:rFonts w:hint="default" w:ascii="Times New Roman" w:hAnsi="Times New Roman" w:eastAsia="仿宋" w:cs="Times New Roman"/>
          <w:color w:val="auto"/>
        </w:rPr>
        <w:t>本次调查地块未来规划为</w:t>
      </w:r>
      <w:r>
        <w:rPr>
          <w:rFonts w:hint="default" w:ascii="Times New Roman" w:hAnsi="Times New Roman" w:eastAsia="仿宋" w:cs="Times New Roman"/>
          <w:color w:val="auto"/>
          <w:lang w:val="en-US" w:eastAsia="zh-CN"/>
        </w:rPr>
        <w:t>教育科研用地</w:t>
      </w:r>
      <w:r>
        <w:rPr>
          <w:rFonts w:hint="default" w:ascii="Times New Roman" w:hAnsi="Times New Roman" w:eastAsia="仿宋" w:cs="Times New Roman"/>
          <w:color w:val="auto"/>
        </w:rPr>
        <w:t>，</w:t>
      </w:r>
      <w:r>
        <w:rPr>
          <w:rFonts w:hint="default" w:ascii="Times New Roman" w:hAnsi="Times New Roman" w:eastAsia="仿宋" w:cs="Times New Roman"/>
          <w:color w:val="auto"/>
          <w:sz w:val="24"/>
          <w:szCs w:val="24"/>
          <w:lang w:val="en-US" w:eastAsia="zh-CN"/>
        </w:rPr>
        <w:t>适用于《土壤环境质量 建设用地土壤污染风险管控标准(试行)》（GB36600-2018）中的第</w:t>
      </w:r>
      <w:r>
        <w:rPr>
          <w:rFonts w:hint="eastAsia" w:ascii="Times New Roman" w:hAnsi="Times New Roman" w:eastAsia="仿宋" w:cs="Times New Roman"/>
          <w:color w:val="auto"/>
          <w:sz w:val="24"/>
          <w:szCs w:val="24"/>
          <w:lang w:val="en-US" w:eastAsia="zh-CN"/>
        </w:rPr>
        <w:t>一</w:t>
      </w:r>
      <w:r>
        <w:rPr>
          <w:rFonts w:hint="default" w:ascii="Times New Roman" w:hAnsi="Times New Roman" w:eastAsia="仿宋" w:cs="Times New Roman"/>
          <w:color w:val="auto"/>
          <w:sz w:val="24"/>
          <w:szCs w:val="24"/>
          <w:lang w:val="en-US" w:eastAsia="zh-CN"/>
        </w:rPr>
        <w:t>类用地的筛选值评价标准。</w:t>
      </w:r>
    </w:p>
    <w:p w14:paraId="1C9AF4DD">
      <w:pPr>
        <w:keepNext w:val="0"/>
        <w:keepLines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sz w:val="24"/>
          <w:szCs w:val="24"/>
          <w:lang w:val="en-US" w:eastAsia="zh-CN"/>
        </w:rPr>
        <w:t>本次调查地块</w:t>
      </w:r>
      <w:r>
        <w:rPr>
          <w:rFonts w:hint="eastAsia" w:ascii="Times New Roman" w:hAnsi="Times New Roman" w:eastAsia="仿宋" w:cs="Times New Roman"/>
          <w:color w:val="auto"/>
          <w:sz w:val="24"/>
          <w:szCs w:val="24"/>
          <w:lang w:val="en-US" w:eastAsia="zh-CN"/>
        </w:rPr>
        <w:t>已</w:t>
      </w:r>
      <w:r>
        <w:rPr>
          <w:rFonts w:hint="default" w:ascii="Times New Roman" w:hAnsi="Times New Roman" w:eastAsia="仿宋" w:cs="Times New Roman"/>
          <w:color w:val="auto"/>
          <w:sz w:val="24"/>
          <w:szCs w:val="24"/>
          <w:lang w:val="en-US" w:eastAsia="zh-CN"/>
        </w:rPr>
        <w:t>于2018年签订</w:t>
      </w:r>
      <w:r>
        <w:rPr>
          <w:rFonts w:hint="eastAsia" w:eastAsia="仿宋" w:cs="Times New Roman"/>
          <w:color w:val="auto"/>
          <w:sz w:val="24"/>
          <w:szCs w:val="24"/>
          <w:lang w:val="en-US" w:eastAsia="zh-CN"/>
        </w:rPr>
        <w:t>本地块</w:t>
      </w:r>
      <w:r>
        <w:rPr>
          <w:rFonts w:hint="eastAsia" w:ascii="Times New Roman" w:hAnsi="Times New Roman" w:eastAsia="仿宋" w:cs="Times New Roman"/>
          <w:color w:val="auto"/>
          <w:sz w:val="24"/>
          <w:szCs w:val="24"/>
          <w:lang w:val="en-US" w:eastAsia="zh-CN"/>
        </w:rPr>
        <w:t>作为十总小学篮球场</w:t>
      </w:r>
      <w:r>
        <w:rPr>
          <w:rFonts w:hint="eastAsia" w:eastAsia="仿宋" w:cs="Times New Roman"/>
          <w:color w:val="auto"/>
          <w:sz w:val="24"/>
          <w:szCs w:val="24"/>
          <w:lang w:val="en-US" w:eastAsia="zh-CN"/>
        </w:rPr>
        <w:t>的</w:t>
      </w:r>
      <w:r>
        <w:rPr>
          <w:rFonts w:hint="default" w:ascii="Times New Roman" w:hAnsi="Times New Roman" w:eastAsia="仿宋" w:cs="Times New Roman"/>
          <w:color w:val="auto"/>
          <w:sz w:val="24"/>
          <w:szCs w:val="24"/>
          <w:lang w:val="en-US" w:eastAsia="zh-CN"/>
        </w:rPr>
        <w:t>合同，十总小学</w:t>
      </w:r>
      <w:r>
        <w:rPr>
          <w:rFonts w:hint="eastAsia" w:eastAsia="仿宋" w:cs="Times New Roman"/>
          <w:color w:val="auto"/>
          <w:sz w:val="24"/>
          <w:szCs w:val="24"/>
          <w:lang w:val="en-US" w:eastAsia="zh-CN"/>
        </w:rPr>
        <w:t>篮球场</w:t>
      </w:r>
      <w:r>
        <w:rPr>
          <w:rFonts w:hint="default" w:ascii="Times New Roman" w:hAnsi="Times New Roman" w:eastAsia="仿宋" w:cs="Times New Roman"/>
          <w:color w:val="auto"/>
          <w:sz w:val="24"/>
          <w:szCs w:val="24"/>
          <w:lang w:val="en-US" w:eastAsia="zh-CN"/>
        </w:rPr>
        <w:t>于2019年投入使用，</w:t>
      </w:r>
      <w:r>
        <w:rPr>
          <w:rFonts w:hint="default" w:ascii="Times New Roman" w:hAnsi="Times New Roman" w:eastAsia="仿宋" w:cs="Times New Roman"/>
          <w:color w:val="auto"/>
          <w:lang w:eastAsia="zh-CN"/>
        </w:rPr>
        <w:t>为了解该地块土壤</w:t>
      </w:r>
      <w:r>
        <w:rPr>
          <w:rFonts w:hint="default" w:ascii="Times New Roman" w:hAnsi="Times New Roman" w:eastAsia="仿宋" w:cs="Times New Roman"/>
          <w:color w:val="auto"/>
          <w:lang w:val="en-US" w:eastAsia="zh-CN"/>
        </w:rPr>
        <w:t>环境</w:t>
      </w:r>
      <w:r>
        <w:rPr>
          <w:rFonts w:hint="default" w:ascii="Times New Roman" w:hAnsi="Times New Roman" w:eastAsia="仿宋" w:cs="Times New Roman"/>
          <w:color w:val="auto"/>
          <w:lang w:eastAsia="zh-CN"/>
        </w:rPr>
        <w:t>质量现状，</w:t>
      </w:r>
      <w:r>
        <w:rPr>
          <w:rFonts w:hint="default" w:ascii="Times New Roman" w:hAnsi="Times New Roman" w:eastAsia="仿宋" w:cs="Times New Roman"/>
          <w:color w:val="auto"/>
          <w:lang w:val="en-US" w:eastAsia="zh-CN"/>
        </w:rPr>
        <w:t>方便土地流转</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南通市通州区十总镇人民政府</w:t>
      </w:r>
      <w:r>
        <w:rPr>
          <w:rFonts w:hint="default" w:ascii="Times New Roman" w:hAnsi="Times New Roman" w:eastAsia="仿宋" w:cs="Times New Roman"/>
          <w:color w:val="auto"/>
          <w:kern w:val="2"/>
          <w:sz w:val="24"/>
          <w:szCs w:val="24"/>
          <w:lang w:val="en-US" w:eastAsia="zh-CN" w:bidi="ar-SA"/>
        </w:rPr>
        <w:t>委托江苏标普检测科技有限公司对</w:t>
      </w:r>
      <w:r>
        <w:rPr>
          <w:rFonts w:hint="eastAsia" w:ascii="Times New Roman" w:hAnsi="Times New Roman" w:eastAsia="仿宋" w:cs="Times New Roman"/>
          <w:color w:val="auto"/>
          <w:kern w:val="2"/>
          <w:sz w:val="24"/>
          <w:szCs w:val="24"/>
          <w:lang w:val="en-US" w:eastAsia="zh-CN" w:bidi="ar-SA"/>
        </w:rPr>
        <w:t>南通</w:t>
      </w:r>
      <w:r>
        <w:rPr>
          <w:rFonts w:hint="eastAsia" w:eastAsia="仿宋" w:cs="Times New Roman"/>
          <w:color w:val="auto"/>
          <w:kern w:val="2"/>
          <w:sz w:val="24"/>
          <w:szCs w:val="24"/>
          <w:lang w:val="en-US" w:eastAsia="zh-CN" w:bidi="ar-SA"/>
        </w:rPr>
        <w:t>市</w:t>
      </w:r>
      <w:r>
        <w:rPr>
          <w:rFonts w:hint="eastAsia" w:ascii="Times New Roman" w:hAnsi="Times New Roman" w:eastAsia="仿宋" w:cs="Times New Roman"/>
          <w:color w:val="auto"/>
          <w:kern w:val="2"/>
          <w:sz w:val="24"/>
          <w:szCs w:val="24"/>
          <w:lang w:val="en-US" w:eastAsia="zh-CN" w:bidi="ar-SA"/>
        </w:rPr>
        <w:t>通州区</w:t>
      </w:r>
      <w:r>
        <w:rPr>
          <w:rFonts w:hint="default" w:ascii="Times New Roman" w:hAnsi="Times New Roman" w:eastAsia="仿宋" w:cs="Times New Roman"/>
          <w:color w:val="auto"/>
          <w:kern w:val="2"/>
          <w:sz w:val="24"/>
          <w:szCs w:val="24"/>
          <w:lang w:val="en-US" w:eastAsia="zh-CN" w:bidi="ar-SA"/>
        </w:rPr>
        <w:t>十总小学篮球场地块土壤污染状况进行调查。</w:t>
      </w:r>
    </w:p>
    <w:p w14:paraId="3DEBF99A">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仿宋" w:cs="Times New Roman"/>
          <w:color w:val="auto"/>
          <w:kern w:val="2"/>
          <w:sz w:val="24"/>
          <w:szCs w:val="24"/>
          <w:lang w:val="en-US" w:eastAsia="zh-CN" w:bidi="ar-SA"/>
        </w:rPr>
      </w:pPr>
      <w:r>
        <w:rPr>
          <w:rFonts w:hint="default" w:ascii="Times New Roman" w:hAnsi="Times New Roman" w:eastAsia="仿宋" w:cs="Times New Roman"/>
          <w:color w:val="auto"/>
          <w:sz w:val="24"/>
          <w:szCs w:val="24"/>
          <w:lang w:val="en-US" w:eastAsia="zh-CN"/>
        </w:rPr>
        <w:t>结合卫星影像及人员访谈得知，地块内无企业存在，未进行过工业生产活动。该地块于2001年至2015年曾存在</w:t>
      </w:r>
      <w:r>
        <w:rPr>
          <w:rFonts w:hint="eastAsia" w:ascii="Times New Roman" w:hAnsi="Times New Roman" w:eastAsia="仿宋" w:cs="Times New Roman"/>
          <w:color w:val="auto"/>
          <w:sz w:val="24"/>
          <w:szCs w:val="24"/>
          <w:lang w:val="en-US" w:eastAsia="zh-CN"/>
        </w:rPr>
        <w:t>十总小学教职工宿舍；2018年拆除为空地，并于当年签订合同</w:t>
      </w:r>
      <w:r>
        <w:rPr>
          <w:rFonts w:hint="eastAsia" w:eastAsia="仿宋" w:cs="Times New Roman"/>
          <w:color w:val="auto"/>
          <w:sz w:val="24"/>
          <w:szCs w:val="24"/>
          <w:lang w:val="en-US" w:eastAsia="zh-CN"/>
        </w:rPr>
        <w:t>开工建设</w:t>
      </w:r>
      <w:r>
        <w:rPr>
          <w:rFonts w:hint="eastAsia" w:ascii="Times New Roman" w:hAnsi="Times New Roman" w:eastAsia="仿宋" w:cs="Times New Roman"/>
          <w:color w:val="auto"/>
          <w:sz w:val="24"/>
          <w:szCs w:val="24"/>
          <w:lang w:val="en-US" w:eastAsia="zh-CN"/>
        </w:rPr>
        <w:t>，2019年投入使用。</w:t>
      </w:r>
      <w:r>
        <w:rPr>
          <w:rFonts w:hint="default" w:ascii="Times New Roman" w:hAnsi="Times New Roman" w:eastAsia="仿宋" w:cs="Times New Roman"/>
          <w:color w:val="auto"/>
          <w:sz w:val="24"/>
          <w:szCs w:val="24"/>
          <w:lang w:val="en-US" w:eastAsia="zh-CN"/>
        </w:rPr>
        <w:t>本次调查地块周边有</w:t>
      </w:r>
      <w:r>
        <w:rPr>
          <w:rFonts w:hint="eastAsia" w:eastAsia="仿宋" w:cs="Times New Roman"/>
          <w:color w:val="auto"/>
          <w:sz w:val="24"/>
          <w:szCs w:val="24"/>
          <w:lang w:val="en-US" w:eastAsia="zh-CN"/>
        </w:rPr>
        <w:t>南通东升化工有限</w:t>
      </w:r>
      <w:r>
        <w:rPr>
          <w:rFonts w:hint="eastAsia" w:ascii="Times New Roman" w:hAnsi="Times New Roman" w:eastAsia="仿宋" w:cs="Times New Roman"/>
          <w:color w:val="auto"/>
          <w:kern w:val="2"/>
          <w:sz w:val="24"/>
          <w:szCs w:val="24"/>
          <w:lang w:val="en-US" w:eastAsia="zh-CN" w:bidi="ar-SA"/>
        </w:rPr>
        <w:t>公司（原通州市华东特种原料厂）、南通叠羽复合包装材料有限公司等</w:t>
      </w:r>
      <w:r>
        <w:rPr>
          <w:rFonts w:hint="eastAsia" w:eastAsia="仿宋" w:cs="Times New Roman"/>
          <w:color w:val="auto"/>
          <w:kern w:val="2"/>
          <w:sz w:val="24"/>
          <w:szCs w:val="24"/>
          <w:lang w:val="en-US" w:eastAsia="zh-CN" w:bidi="ar-SA"/>
        </w:rPr>
        <w:t>。</w:t>
      </w:r>
    </w:p>
    <w:p w14:paraId="676F5C86">
      <w:pPr>
        <w:pStyle w:val="13"/>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仿宋" w:cs="Times New Roman"/>
          <w:color w:val="auto"/>
          <w:lang w:val="en-US" w:eastAsia="zh-CN"/>
        </w:rPr>
      </w:pPr>
      <w:r>
        <w:rPr>
          <w:rFonts w:hint="eastAsia" w:ascii="Times New Roman" w:hAnsi="Times New Roman" w:eastAsia="仿宋" w:cs="Times New Roman"/>
          <w:color w:val="auto"/>
          <w:kern w:val="2"/>
          <w:sz w:val="24"/>
          <w:szCs w:val="24"/>
          <w:lang w:val="en-US" w:eastAsia="zh-CN" w:bidi="ar-SA"/>
        </w:rPr>
        <w:t>南通市通州区十总镇人民政府</w:t>
      </w:r>
      <w:r>
        <w:rPr>
          <w:rFonts w:hint="default" w:ascii="Times New Roman" w:hAnsi="Times New Roman" w:eastAsia="仿宋" w:cs="Times New Roman"/>
          <w:color w:val="auto"/>
          <w:kern w:val="2"/>
          <w:sz w:val="24"/>
          <w:szCs w:val="24"/>
          <w:lang w:val="en-US" w:eastAsia="zh-CN" w:bidi="ar-SA"/>
        </w:rPr>
        <w:t>委托江苏标普检测科技有限公司对</w:t>
      </w:r>
      <w:r>
        <w:rPr>
          <w:rFonts w:hint="eastAsia" w:ascii="Times New Roman" w:hAnsi="Times New Roman" w:eastAsia="仿宋" w:cs="Times New Roman"/>
          <w:color w:val="auto"/>
          <w:kern w:val="2"/>
          <w:sz w:val="24"/>
          <w:szCs w:val="24"/>
          <w:lang w:val="en-US" w:eastAsia="zh-CN" w:bidi="ar-SA"/>
        </w:rPr>
        <w:t>南通市通州区十总小学篮球场地块</w:t>
      </w:r>
      <w:r>
        <w:rPr>
          <w:rFonts w:hint="default" w:ascii="Times New Roman" w:hAnsi="Times New Roman" w:eastAsia="仿宋" w:cs="Times New Roman"/>
          <w:color w:val="auto"/>
          <w:kern w:val="2"/>
          <w:sz w:val="24"/>
          <w:szCs w:val="24"/>
          <w:lang w:val="en-US" w:eastAsia="zh-CN" w:bidi="ar-SA"/>
        </w:rPr>
        <w:t>土壤污染状况进行调查。202</w:t>
      </w:r>
      <w:r>
        <w:rPr>
          <w:rFonts w:hint="eastAsia" w:ascii="Times New Roman" w:hAnsi="Times New Roman" w:eastAsia="仿宋" w:cs="Times New Roman"/>
          <w:color w:val="auto"/>
          <w:kern w:val="2"/>
          <w:sz w:val="24"/>
          <w:szCs w:val="24"/>
          <w:lang w:val="en-US" w:eastAsia="zh-CN" w:bidi="ar-SA"/>
        </w:rPr>
        <w:t>4</w:t>
      </w:r>
      <w:r>
        <w:rPr>
          <w:rFonts w:hint="default" w:ascii="Times New Roman" w:hAnsi="Times New Roman" w:eastAsia="仿宋" w:cs="Times New Roman"/>
          <w:color w:val="auto"/>
          <w:kern w:val="2"/>
          <w:sz w:val="24"/>
          <w:szCs w:val="24"/>
          <w:lang w:val="en-US" w:eastAsia="zh-CN" w:bidi="ar-SA"/>
        </w:rPr>
        <w:t>年6月我司对项目所在地进行了现场踏勘和人员访谈，调查收集并分析了相关资料，进行土壤样品进行快筛检测。在此基础上我司根据国家法律法规、标准规范及有关技术导则编制了《</w:t>
      </w:r>
      <w:r>
        <w:rPr>
          <w:rFonts w:hint="eastAsia" w:ascii="Times New Roman" w:hAnsi="Times New Roman" w:eastAsia="仿宋" w:cs="Times New Roman"/>
          <w:color w:val="auto"/>
          <w:lang w:val="en-US" w:eastAsia="zh-CN"/>
        </w:rPr>
        <w:t>南通</w:t>
      </w:r>
      <w:r>
        <w:rPr>
          <w:rFonts w:hint="eastAsia" w:eastAsia="仿宋" w:cs="Times New Roman"/>
          <w:color w:val="auto"/>
          <w:lang w:val="en-US" w:eastAsia="zh-CN"/>
        </w:rPr>
        <w:t>市</w:t>
      </w:r>
      <w:r>
        <w:rPr>
          <w:rFonts w:hint="eastAsia" w:ascii="Times New Roman" w:hAnsi="Times New Roman" w:eastAsia="仿宋" w:cs="Times New Roman"/>
          <w:color w:val="auto"/>
          <w:lang w:val="en-US" w:eastAsia="zh-CN"/>
        </w:rPr>
        <w:t>通州区十总小学篮球场地块</w:t>
      </w:r>
      <w:r>
        <w:rPr>
          <w:rFonts w:hint="default" w:ascii="Times New Roman" w:hAnsi="Times New Roman" w:eastAsia="仿宋" w:cs="Times New Roman"/>
          <w:color w:val="auto"/>
          <w:kern w:val="2"/>
          <w:sz w:val="24"/>
          <w:szCs w:val="24"/>
          <w:lang w:val="en-US" w:eastAsia="zh-CN" w:bidi="ar-SA"/>
        </w:rPr>
        <w:t>土壤污染状况调查报</w:t>
      </w:r>
      <w:r>
        <w:rPr>
          <w:rFonts w:hint="default" w:ascii="Times New Roman" w:hAnsi="Times New Roman" w:eastAsia="仿宋" w:cs="Times New Roman"/>
          <w:color w:val="auto"/>
          <w:lang w:val="en-US" w:eastAsia="zh-CN"/>
        </w:rPr>
        <w:t>告</w:t>
      </w:r>
      <w:r>
        <w:rPr>
          <w:rFonts w:hint="default" w:ascii="Times New Roman" w:hAnsi="Times New Roman" w:eastAsia="仿宋" w:cs="Times New Roman"/>
          <w:color w:val="auto"/>
          <w:sz w:val="24"/>
          <w:szCs w:val="18"/>
          <w:lang w:val="en-US" w:eastAsia="zh-CN"/>
        </w:rPr>
        <w:t>》。</w:t>
      </w:r>
    </w:p>
    <w:p w14:paraId="1040805E">
      <w:pPr>
        <w:pStyle w:val="2"/>
        <w:keepNext w:val="0"/>
        <w:keepLines w:val="0"/>
        <w:widowControl w:val="0"/>
        <w:numPr>
          <w:ilvl w:val="0"/>
          <w:numId w:val="0"/>
        </w:numPr>
        <w:kinsoku/>
        <w:wordWrap/>
        <w:overflowPunct/>
        <w:topLinePunct w:val="0"/>
        <w:autoSpaceDE/>
        <w:autoSpaceDN/>
        <w:bidi w:val="0"/>
        <w:adjustRightInd/>
        <w:snapToGrid w:val="0"/>
        <w:spacing w:before="0" w:beforeLines="0" w:after="0" w:afterLines="0"/>
        <w:jc w:val="both"/>
        <w:textAlignment w:val="auto"/>
        <w:rPr>
          <w:rFonts w:hint="default" w:ascii="Times New Roman" w:hAnsi="Times New Roman" w:eastAsia="仿宋" w:cs="Times New Roman"/>
          <w:color w:val="auto"/>
          <w:lang w:val="en-US" w:eastAsia="zh-CN"/>
        </w:rPr>
      </w:pPr>
      <w:bookmarkStart w:id="6" w:name="_Toc12625"/>
      <w:bookmarkStart w:id="7" w:name="_Toc30586"/>
      <w:r>
        <w:rPr>
          <w:rFonts w:hint="default" w:ascii="Times New Roman" w:hAnsi="Times New Roman" w:eastAsia="仿宋" w:cs="Times New Roman"/>
          <w:color w:val="auto"/>
          <w:lang w:val="en-US" w:eastAsia="zh-CN"/>
        </w:rPr>
        <w:t>2 概述</w:t>
      </w:r>
      <w:bookmarkEnd w:id="6"/>
      <w:bookmarkEnd w:id="7"/>
    </w:p>
    <w:p w14:paraId="592F938D">
      <w:pPr>
        <w:pStyle w:val="3"/>
        <w:pageBreakBefore w:val="0"/>
        <w:widowControl w:val="0"/>
        <w:numPr>
          <w:ilvl w:val="1"/>
          <w:numId w:val="0"/>
        </w:numPr>
        <w:kinsoku/>
        <w:wordWrap/>
        <w:overflowPunct/>
        <w:topLinePunct w:val="0"/>
        <w:autoSpaceDE/>
        <w:autoSpaceDN/>
        <w:bidi w:val="0"/>
        <w:adjustRightInd/>
        <w:snapToGrid w:val="0"/>
        <w:spacing w:before="0" w:beforeLines="0" w:after="0" w:afterLines="0"/>
        <w:ind w:leftChars="0"/>
        <w:textAlignment w:val="auto"/>
        <w:rPr>
          <w:rFonts w:hint="default" w:ascii="Times New Roman" w:hAnsi="Times New Roman" w:eastAsia="仿宋" w:cs="Times New Roman"/>
          <w:color w:val="auto"/>
          <w:lang w:val="en-US"/>
        </w:rPr>
      </w:pPr>
      <w:bookmarkStart w:id="8" w:name="_Toc35010018"/>
      <w:bookmarkStart w:id="9" w:name="_Toc4600"/>
      <w:bookmarkStart w:id="10" w:name="_Toc14058"/>
      <w:bookmarkStart w:id="11" w:name="_Toc24510"/>
      <w:bookmarkStart w:id="12" w:name="_Toc6836"/>
      <w:r>
        <w:rPr>
          <w:rFonts w:hint="default" w:ascii="Times New Roman" w:hAnsi="Times New Roman" w:eastAsia="仿宋" w:cs="Times New Roman"/>
          <w:color w:val="auto"/>
          <w:lang w:val="en-US" w:eastAsia="zh-CN"/>
        </w:rPr>
        <w:t>2.1</w:t>
      </w:r>
      <w:r>
        <w:rPr>
          <w:rFonts w:hint="default" w:ascii="Times New Roman" w:hAnsi="Times New Roman" w:eastAsia="仿宋" w:cs="Times New Roman"/>
          <w:color w:val="auto"/>
          <w:lang w:val="en-US"/>
        </w:rPr>
        <w:t>调查目的和原则</w:t>
      </w:r>
      <w:bookmarkEnd w:id="8"/>
      <w:bookmarkEnd w:id="9"/>
      <w:bookmarkEnd w:id="10"/>
      <w:bookmarkEnd w:id="11"/>
      <w:bookmarkEnd w:id="12"/>
      <w:bookmarkStart w:id="13" w:name="_Toc20065"/>
      <w:bookmarkStart w:id="14" w:name="_Toc14274"/>
      <w:bookmarkStart w:id="15" w:name="_Toc35010019"/>
    </w:p>
    <w:p w14:paraId="6BFF6430">
      <w:pPr>
        <w:pStyle w:val="4"/>
        <w:pageBreakBefore w:val="0"/>
        <w:widowControl w:val="0"/>
        <w:numPr>
          <w:ilvl w:val="2"/>
          <w:numId w:val="0"/>
        </w:numPr>
        <w:kinsoku/>
        <w:wordWrap/>
        <w:overflowPunct/>
        <w:topLinePunct w:val="0"/>
        <w:autoSpaceDE/>
        <w:autoSpaceDN/>
        <w:bidi w:val="0"/>
        <w:adjustRightInd/>
        <w:snapToGrid w:val="0"/>
        <w:spacing w:before="0" w:after="0"/>
        <w:ind w:leftChars="0"/>
        <w:textAlignment w:val="auto"/>
        <w:rPr>
          <w:rFonts w:hint="default" w:ascii="Times New Roman" w:hAnsi="Times New Roman" w:eastAsia="仿宋" w:cs="Times New Roman"/>
          <w:color w:val="auto"/>
          <w:szCs w:val="22"/>
        </w:rPr>
      </w:pPr>
      <w:bookmarkStart w:id="16" w:name="_Toc20361"/>
      <w:r>
        <w:rPr>
          <w:rFonts w:hint="default" w:ascii="Times New Roman" w:hAnsi="Times New Roman" w:eastAsia="仿宋" w:cs="Times New Roman"/>
          <w:color w:val="auto"/>
          <w:szCs w:val="22"/>
          <w:lang w:val="en-US" w:eastAsia="zh-CN"/>
        </w:rPr>
        <w:t>2.1.1</w:t>
      </w:r>
      <w:r>
        <w:rPr>
          <w:rFonts w:hint="default" w:ascii="Times New Roman" w:hAnsi="Times New Roman" w:eastAsia="仿宋" w:cs="Times New Roman"/>
          <w:color w:val="auto"/>
          <w:szCs w:val="22"/>
        </w:rPr>
        <w:t>调查目的</w:t>
      </w:r>
      <w:bookmarkEnd w:id="13"/>
      <w:bookmarkEnd w:id="14"/>
      <w:bookmarkEnd w:id="15"/>
      <w:bookmarkEnd w:id="16"/>
    </w:p>
    <w:p w14:paraId="571DBF21">
      <w:pPr>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22"/>
        </w:rPr>
      </w:pPr>
      <w:bookmarkStart w:id="17" w:name="_Toc35010020"/>
      <w:bookmarkStart w:id="18" w:name="_Toc29737"/>
      <w:bookmarkStart w:id="19" w:name="_Toc4394"/>
      <w:r>
        <w:rPr>
          <w:rFonts w:hint="default" w:ascii="Times New Roman" w:hAnsi="Times New Roman" w:eastAsia="仿宋" w:cs="Times New Roman"/>
          <w:color w:val="auto"/>
          <w:szCs w:val="22"/>
          <w:lang w:val="en-US" w:eastAsia="zh-CN"/>
        </w:rPr>
        <w:t>本次土壤现状调查是通过采用系统的调查方法，确定该地块土壤环境是否被污染及其污染的程度和范围，为地块的环境管理提供依据。</w:t>
      </w:r>
    </w:p>
    <w:p w14:paraId="22D8C233">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20" w:name="_Toc3551"/>
      <w:r>
        <w:rPr>
          <w:rFonts w:hint="default" w:ascii="Times New Roman" w:hAnsi="Times New Roman" w:eastAsia="仿宋" w:cs="Times New Roman"/>
          <w:color w:val="auto"/>
          <w:szCs w:val="22"/>
          <w:lang w:val="en-US" w:eastAsia="zh-CN"/>
        </w:rPr>
        <w:t>2.1.2调查原则</w:t>
      </w:r>
      <w:bookmarkEnd w:id="17"/>
      <w:bookmarkEnd w:id="18"/>
      <w:bookmarkEnd w:id="19"/>
      <w:bookmarkEnd w:id="20"/>
    </w:p>
    <w:p w14:paraId="22366C5A">
      <w:pPr>
        <w:ind w:firstLine="480"/>
        <w:rPr>
          <w:rFonts w:hint="default" w:ascii="Times New Roman" w:hAnsi="Times New Roman" w:eastAsia="仿宋" w:cs="Times New Roman"/>
          <w:color w:val="auto"/>
        </w:rPr>
      </w:pPr>
      <w:r>
        <w:rPr>
          <w:rFonts w:hint="default" w:ascii="Times New Roman" w:hAnsi="Times New Roman" w:eastAsia="仿宋" w:cs="Times New Roman"/>
          <w:color w:val="auto"/>
        </w:rPr>
        <w:t>地块调查严格按照国家标准规范执行，并遵循以下原则：</w:t>
      </w:r>
    </w:p>
    <w:p w14:paraId="604C4B4B">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1</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针对性原则：针对本地块的特征和潜在污染物特征，进行污染浓度和空间分布调查，为地块的环境管理提供依据。</w:t>
      </w:r>
    </w:p>
    <w:p w14:paraId="6FA2FC98">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规范性原则：采用程序化和系统化的方式规范</w:t>
      </w:r>
      <w:bookmarkStart w:id="21" w:name="_Hlk29156510"/>
      <w:r>
        <w:rPr>
          <w:rFonts w:hint="default" w:ascii="Times New Roman" w:hAnsi="Times New Roman" w:eastAsia="仿宋" w:cs="Times New Roman"/>
          <w:color w:val="auto"/>
        </w:rPr>
        <w:t>土壤污染状况调查</w:t>
      </w:r>
      <w:bookmarkEnd w:id="21"/>
      <w:r>
        <w:rPr>
          <w:rFonts w:hint="default" w:ascii="Times New Roman" w:hAnsi="Times New Roman" w:eastAsia="仿宋" w:cs="Times New Roman"/>
          <w:color w:val="auto"/>
        </w:rPr>
        <w:t>过程，保证调查过程的科学性和客观性。</w:t>
      </w:r>
    </w:p>
    <w:p w14:paraId="5728A517">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3</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rPr>
        <w:t>可操作性原则：综合考虑调查方法、时间和经费等因素，结合当前科技发展和专业技术水平，使调查过程切实可行。</w:t>
      </w:r>
    </w:p>
    <w:p w14:paraId="1DB11AF8">
      <w:pPr>
        <w:pStyle w:val="3"/>
        <w:pageBreakBefore w:val="0"/>
        <w:widowControl w:val="0"/>
        <w:numPr>
          <w:ilvl w:val="1"/>
          <w:numId w:val="0"/>
        </w:numPr>
        <w:kinsoku/>
        <w:wordWrap/>
        <w:overflowPunct/>
        <w:topLinePunct w:val="0"/>
        <w:autoSpaceDE/>
        <w:autoSpaceDN/>
        <w:bidi w:val="0"/>
        <w:adjustRightInd/>
        <w:snapToGrid/>
        <w:spacing w:before="0" w:beforeLines="0" w:after="0" w:afterLines="0"/>
        <w:ind w:leftChars="0"/>
        <w:textAlignment w:val="auto"/>
        <w:rPr>
          <w:rFonts w:hint="default" w:ascii="Times New Roman" w:hAnsi="Times New Roman" w:eastAsia="仿宋" w:cs="Times New Roman"/>
          <w:color w:val="auto"/>
          <w:lang w:val="en-US" w:eastAsia="zh-CN"/>
        </w:rPr>
      </w:pPr>
      <w:bookmarkStart w:id="22" w:name="_Toc35010021"/>
      <w:bookmarkStart w:id="23" w:name="_Toc29436"/>
      <w:bookmarkStart w:id="24" w:name="_Toc16889"/>
      <w:bookmarkStart w:id="25" w:name="_Toc27880"/>
      <w:bookmarkStart w:id="26" w:name="_Toc6503"/>
      <w:r>
        <w:rPr>
          <w:rFonts w:hint="default" w:ascii="Times New Roman" w:hAnsi="Times New Roman" w:eastAsia="仿宋" w:cs="Times New Roman"/>
          <w:color w:val="auto"/>
          <w:lang w:val="en-US" w:eastAsia="zh-CN"/>
        </w:rPr>
        <w:t>2.2工作流程与内容</w:t>
      </w:r>
      <w:bookmarkEnd w:id="22"/>
      <w:bookmarkEnd w:id="23"/>
      <w:bookmarkEnd w:id="24"/>
      <w:bookmarkEnd w:id="25"/>
      <w:bookmarkEnd w:id="26"/>
    </w:p>
    <w:p w14:paraId="3CADC0DD">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24"/>
          <w:lang w:val="en-US" w:eastAsia="zh-CN"/>
        </w:rPr>
      </w:pPr>
      <w:r>
        <w:rPr>
          <w:rFonts w:hint="default" w:ascii="Times New Roman" w:hAnsi="Times New Roman" w:eastAsia="仿宋" w:cs="Times New Roman"/>
          <w:color w:val="auto"/>
          <w:szCs w:val="24"/>
        </w:rPr>
        <w:t>土壤</w:t>
      </w:r>
      <w:r>
        <w:rPr>
          <w:rFonts w:hint="default" w:ascii="Times New Roman" w:hAnsi="Times New Roman" w:eastAsia="仿宋" w:cs="Times New Roman"/>
          <w:color w:val="auto"/>
          <w:lang w:val="en-US" w:eastAsia="zh-CN"/>
        </w:rPr>
        <w:t>污染状况</w:t>
      </w:r>
      <w:r>
        <w:rPr>
          <w:rFonts w:hint="default" w:ascii="Times New Roman" w:hAnsi="Times New Roman" w:eastAsia="仿宋" w:cs="Times New Roman"/>
          <w:color w:val="auto"/>
          <w:szCs w:val="24"/>
        </w:rPr>
        <w:t>调查工作主要依据《建设用地土壤污染状况调查技术导则》(HJ25.1-2019)中的工作程序，</w:t>
      </w:r>
      <w:r>
        <w:rPr>
          <w:rFonts w:hint="default" w:ascii="Times New Roman" w:hAnsi="Times New Roman" w:eastAsia="仿宋" w:cs="Times New Roman"/>
          <w:color w:val="auto"/>
          <w:szCs w:val="24"/>
          <w:lang w:val="en-US" w:eastAsia="zh-CN"/>
        </w:rPr>
        <w:t>其主要内容如下：</w:t>
      </w:r>
    </w:p>
    <w:p w14:paraId="40E6A450">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（1）资料收集与分析</w:t>
      </w:r>
    </w:p>
    <w:p w14:paraId="13C4870B">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通过收集地块相关的资料，了解地块历史和生产工艺，判断地块潜在污染区域。资料的收集主要包括：主要包括：地块利用变迁资料、地块环境资料、地块相关记录、有关政府文件、以及地块所在区域的自然和社会信息。当调查地块与相邻地块存在相互污染的可能时，须调查相邻地块的相关记录和资料。</w:t>
      </w:r>
    </w:p>
    <w:p w14:paraId="0E9E0ACA">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地块利用变迁资料包括：用来辨识地块及其相邻地块的开发及活动状况的航片或卫星图片，地块的土地使用和规划资料，其它有助于评价地块污染的历史资料，如土地登记信息资料等。地块利用变迁过程中的地块内建筑、设施、工艺流程和生产污染等的变化情况。</w:t>
      </w:r>
    </w:p>
    <w:p w14:paraId="2013F9B6">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地块环境资料包括：地块土壤及地下水污染记录、地块危险废物堆放记录以及地块与自然保护区和水源地保护区等的位置关系等。</w:t>
      </w:r>
    </w:p>
    <w:p w14:paraId="3145530C">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地块相关记录包括：产品、原辅材料及中间体清单、平面布置图、工艺流程图、地下管线图、化学品储存及使用清单、泄漏记录、废物管理记录、地上及地下储罐清单、环境监测数据、环境影响报告书或表、环境审计报告和地勘报告等。</w:t>
      </w:r>
    </w:p>
    <w:p w14:paraId="316D54E0">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由政府机关和权威机构所保存和发布的环境资料，如区域环境保护规划、环境质量公告、企业在政府部门相关环境备案和批复以及生态和水源保护区规划等。</w:t>
      </w:r>
    </w:p>
    <w:p w14:paraId="762EB358">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地块所在区域的自然和社会信息包括：自然信息包括地理位置图、地形、地貌、土壤、水文、地质和气象资料等；社会信息包括人口密度和分布，敏感目标分布，及土地利用方式，区域所在地的经济现状和发展规划，相关的国家和地方的政策、法规与标准，以及当地地方性疾病统计信息等。</w:t>
      </w:r>
    </w:p>
    <w:p w14:paraId="4CFF3D2E">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资料分析：调查人员应根据专业知识和经验识别资料中的错误和不合理的信息，如资料缺失影响判断地块污染状况时，应在报告中说明。</w:t>
      </w:r>
    </w:p>
    <w:p w14:paraId="2FF33A26">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（2）现场踏勘</w:t>
      </w:r>
    </w:p>
    <w:p w14:paraId="66BA155D">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现场踏勘前做好相应的安全防护，踏勘范围以地块内为主，了解地块的现状与历史情况，相邻地块的现状与历史情况，周围区域的现状与历史情况，区域的地质、水文地质和地形的描述等，分析潜在的污染区域范围。</w:t>
      </w:r>
    </w:p>
    <w:p w14:paraId="6C59D7D5">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（3）人员访谈</w:t>
      </w:r>
    </w:p>
    <w:p w14:paraId="01DC467B">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通过对地块现状和历史的知情人进行访谈，对资料收集和现场踏勘所涉及的疑问，以及信息补充和已有资料的考证。</w:t>
      </w:r>
    </w:p>
    <w:p w14:paraId="59E85EEA">
      <w:pPr>
        <w:ind w:firstLine="480"/>
        <w:rPr>
          <w:rFonts w:hint="default" w:ascii="Times New Roman" w:hAnsi="Times New Roman" w:eastAsia="仿宋" w:cs="Times New Roman"/>
          <w:color w:val="auto"/>
          <w:szCs w:val="18"/>
        </w:rPr>
      </w:pPr>
      <w:r>
        <w:rPr>
          <w:rFonts w:hint="default" w:ascii="Times New Roman" w:hAnsi="Times New Roman" w:eastAsia="仿宋" w:cs="Times New Roman"/>
          <w:color w:val="auto"/>
        </w:rPr>
        <w:t>本阶段调查结论应明确地块内及周围区域有无可能的污染源，并进行不确定</w:t>
      </w:r>
      <w:r>
        <w:rPr>
          <w:rFonts w:hint="default" w:ascii="Times New Roman" w:hAnsi="Times New Roman" w:eastAsia="仿宋" w:cs="Times New Roman"/>
          <w:color w:val="auto"/>
          <w:szCs w:val="18"/>
        </w:rPr>
        <w:t>性分析。若有可能的污染源，应说明可能的污染类型、污染状况和来源，并应提出第二阶段土壤污染状况调查的建议。</w:t>
      </w:r>
    </w:p>
    <w:p w14:paraId="4E900D2E">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24"/>
        </w:rPr>
      </w:pPr>
      <w:r>
        <w:rPr>
          <w:rFonts w:hint="default" w:ascii="Times New Roman" w:hAnsi="Times New Roman" w:eastAsia="仿宋" w:cs="Times New Roman"/>
          <w:color w:val="auto"/>
          <w:szCs w:val="24"/>
          <w:lang w:val="en-US" w:eastAsia="zh-CN"/>
        </w:rPr>
        <w:t>本次</w:t>
      </w:r>
      <w:r>
        <w:rPr>
          <w:rFonts w:hint="default" w:ascii="Times New Roman" w:hAnsi="Times New Roman" w:eastAsia="仿宋" w:cs="Times New Roman"/>
          <w:color w:val="auto"/>
          <w:szCs w:val="24"/>
        </w:rPr>
        <w:t>调查的工作程序如下图所示，其中红线标识为本次调查的主要内容：</w:t>
      </w:r>
    </w:p>
    <w:p w14:paraId="06B372CB">
      <w:pPr>
        <w:pStyle w:val="7"/>
        <w:keepNext w:val="0"/>
        <w:keepLines w:val="0"/>
        <w:pageBreakBefore w:val="0"/>
        <w:widowControl w:val="0"/>
        <w:kinsoku/>
        <w:wordWrap/>
        <w:overflowPunct/>
        <w:topLinePunct w:val="0"/>
        <w:autoSpaceDE/>
        <w:autoSpaceDN/>
        <w:bidi w:val="0"/>
        <w:adjustRightInd/>
        <w:snapToGrid/>
        <w:spacing w:after="0"/>
        <w:ind w:firstLine="0" w:firstLineChars="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object>
          <v:shape id="_x0000_i1025" o:spt="75" type="#_x0000_t75" style="height:602.35pt;width:415.1pt;" o:ole="t" filled="f" o:preferrelative="t" stroked="f" coordsize="21600,21600">
            <v:path/>
            <v:fill on="f" focussize="0,0"/>
            <v:stroke on="f" joinstyle="miter"/>
            <v:imagedata r:id="rId21" o:title=""/>
            <o:lock v:ext="edit" aspectratio="f"/>
            <w10:wrap type="none"/>
            <w10:anchorlock/>
          </v:shape>
          <o:OLEObject Type="Embed" ProgID="Visio.Drawing.15" ShapeID="_x0000_i1025" DrawAspect="Content" ObjectID="_1468075725" r:id="rId20">
            <o:LockedField>false</o:LockedField>
          </o:OLEObject>
        </w:object>
      </w:r>
      <w:r>
        <w:rPr>
          <w:rFonts w:hint="default" w:ascii="Times New Roman" w:hAnsi="Times New Roman" w:eastAsia="仿宋" w:cs="Times New Roman"/>
          <w:color w:val="auto"/>
          <w:sz w:val="24"/>
        </w:rPr>
        <mc:AlternateContent>
          <mc:Choice Requires="wps">
            <w:drawing>
              <wp:anchor distT="0" distB="0" distL="114300" distR="114300" simplePos="0" relativeHeight="251659264" behindDoc="0" locked="0" layoutInCell="1" allowOverlap="1">
                <wp:simplePos x="0" y="0"/>
                <wp:positionH relativeFrom="column">
                  <wp:posOffset>394335</wp:posOffset>
                </wp:positionH>
                <wp:positionV relativeFrom="paragraph">
                  <wp:posOffset>31750</wp:posOffset>
                </wp:positionV>
                <wp:extent cx="5114925" cy="7608570"/>
                <wp:effectExtent l="9525" t="9525" r="19050" b="20955"/>
                <wp:wrapNone/>
                <wp:docPr id="42" name="任意多边形 42"/>
                <wp:cNvGraphicFramePr/>
                <a:graphic xmlns:a="http://schemas.openxmlformats.org/drawingml/2006/main">
                  <a:graphicData uri="http://schemas.microsoft.com/office/word/2010/wordprocessingShape">
                    <wps:wsp>
                      <wps:cNvSpPr/>
                      <wps:spPr>
                        <a:xfrm>
                          <a:off x="1537335" y="1254760"/>
                          <a:ext cx="5114925" cy="7608570"/>
                        </a:xfrm>
                        <a:custGeom>
                          <a:avLst/>
                          <a:gdLst>
                            <a:gd name="connsiteX0" fmla="*/ 0 w 8055"/>
                            <a:gd name="connsiteY0" fmla="*/ 0 h 11982"/>
                            <a:gd name="connsiteX1" fmla="*/ 7995 w 8055"/>
                            <a:gd name="connsiteY1" fmla="*/ 0 h 11982"/>
                            <a:gd name="connsiteX2" fmla="*/ 8055 w 8055"/>
                            <a:gd name="connsiteY2" fmla="*/ 11982 h 11982"/>
                            <a:gd name="connsiteX3" fmla="*/ 405 w 8055"/>
                            <a:gd name="connsiteY3" fmla="*/ 11976 h 11982"/>
                            <a:gd name="connsiteX4" fmla="*/ 405 w 8055"/>
                            <a:gd name="connsiteY4" fmla="*/ 10476 h 11982"/>
                            <a:gd name="connsiteX5" fmla="*/ 7365 w 8055"/>
                            <a:gd name="connsiteY5" fmla="*/ 10503 h 11982"/>
                            <a:gd name="connsiteX6" fmla="*/ 7380 w 8055"/>
                            <a:gd name="connsiteY6" fmla="*/ 3483 h 11982"/>
                            <a:gd name="connsiteX7" fmla="*/ 0 w 8055"/>
                            <a:gd name="connsiteY7" fmla="*/ 3468 h 11982"/>
                            <a:gd name="connsiteX8" fmla="*/ 0 w 8055"/>
                            <a:gd name="connsiteY8" fmla="*/ 0 h 119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8055" h="11982">
                              <a:moveTo>
                                <a:pt x="0" y="0"/>
                              </a:moveTo>
                              <a:lnTo>
                                <a:pt x="7995" y="0"/>
                              </a:lnTo>
                              <a:lnTo>
                                <a:pt x="8055" y="11982"/>
                              </a:lnTo>
                              <a:lnTo>
                                <a:pt x="405" y="11976"/>
                              </a:lnTo>
                              <a:lnTo>
                                <a:pt x="405" y="10476"/>
                              </a:lnTo>
                              <a:lnTo>
                                <a:pt x="7365" y="10503"/>
                              </a:lnTo>
                              <a:lnTo>
                                <a:pt x="7380" y="3483"/>
                              </a:lnTo>
                              <a:lnTo>
                                <a:pt x="0" y="3468"/>
                              </a:lnTo>
                              <a:lnTo>
                                <a:pt x="0" y="0"/>
                              </a:lnTo>
                              <a:close/>
                            </a:path>
                          </a:pathLst>
                        </a:custGeom>
                        <a:noFill/>
                        <a:ln w="19050" cmpd="sng">
                          <a:solidFill>
                            <a:srgbClr val="FF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31.05pt;margin-top:2.5pt;height:599.1pt;width:402.75pt;z-index:251659264;v-text-anchor:middle;mso-width-relative:page;mso-height-relative:page;" filled="f" stroked="t" coordsize="8055,11982" o:gfxdata="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" path="m0,0l7995,0,8055,11982,405,11976,405,10476,7365,10503,7380,3483,0,3468,0,0xe">
                <v:path o:connectlocs="0,0;5076825,0;5114925,7608570;257175,7604760;257175,6652260;4676775,6669405;4686300,2211705;0,2202180;0,0" o:connectangles="0,0,0,0,0,0,0,0,0"/>
                <v:fill on="f" focussize="0,0"/>
                <v:stroke weight="1.5pt" color="#FF0000 [3204]" miterlimit="8" joinstyle="miter" dashstyle="longDash"/>
                <v:imagedata o:title=""/>
                <o:lock v:ext="edit" aspectratio="f"/>
              </v:shape>
            </w:pict>
          </mc:Fallback>
        </mc:AlternateContent>
      </w:r>
    </w:p>
    <w:p w14:paraId="7A458004">
      <w:pPr>
        <w:pStyle w:val="18"/>
        <w:keepNext w:val="0"/>
        <w:keepLines w:val="0"/>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图</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rPr>
        <w:t>.2-1</w:t>
      </w:r>
      <w:r>
        <w:rPr>
          <w:rFonts w:hint="default" w:ascii="Times New Roman" w:hAnsi="Times New Roman" w:eastAsia="仿宋" w:cs="Times New Roman"/>
          <w:color w:val="auto"/>
          <w:lang w:val="en-US" w:eastAsia="zh-CN"/>
        </w:rPr>
        <w:t xml:space="preserve">  </w:t>
      </w:r>
      <w:r>
        <w:rPr>
          <w:rFonts w:hint="default" w:ascii="Times New Roman" w:hAnsi="Times New Roman" w:eastAsia="仿宋" w:cs="Times New Roman"/>
          <w:color w:val="auto"/>
        </w:rPr>
        <w:t>土壤污染状况调查的工作内容与程序(红线范围为本次调查内容）</w:t>
      </w:r>
    </w:p>
    <w:p w14:paraId="1A309B53">
      <w:pPr>
        <w:pStyle w:val="18"/>
        <w:spacing w:before="156" w:after="156"/>
        <w:jc w:val="both"/>
        <w:rPr>
          <w:rFonts w:hint="default" w:ascii="Times New Roman" w:hAnsi="Times New Roman" w:eastAsia="仿宋" w:cs="Times New Roman"/>
          <w:color w:val="auto"/>
        </w:rPr>
      </w:pPr>
    </w:p>
    <w:p w14:paraId="6EEAADEA">
      <w:pPr>
        <w:pStyle w:val="18"/>
        <w:spacing w:before="156" w:after="156"/>
        <w:jc w:val="both"/>
        <w:rPr>
          <w:rFonts w:hint="default" w:ascii="Times New Roman" w:hAnsi="Times New Roman" w:eastAsia="仿宋" w:cs="Times New Roman"/>
          <w:color w:val="auto"/>
        </w:rPr>
        <w:sectPr>
          <w:footerReference r:id="rId1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B5F9F59">
      <w:pPr>
        <w:pStyle w:val="3"/>
        <w:pageBreakBefore w:val="0"/>
        <w:widowControl w:val="0"/>
        <w:numPr>
          <w:ilvl w:val="1"/>
          <w:numId w:val="0"/>
        </w:numPr>
        <w:kinsoku/>
        <w:wordWrap/>
        <w:overflowPunct/>
        <w:topLinePunct w:val="0"/>
        <w:autoSpaceDE/>
        <w:autoSpaceDN/>
        <w:bidi w:val="0"/>
        <w:adjustRightInd/>
        <w:snapToGrid/>
        <w:spacing w:before="0" w:beforeLines="0" w:after="0" w:afterLines="0"/>
        <w:ind w:leftChars="0"/>
        <w:textAlignment w:val="auto"/>
        <w:rPr>
          <w:rFonts w:hint="default" w:ascii="Times New Roman" w:hAnsi="Times New Roman" w:eastAsia="仿宋" w:cs="Times New Roman"/>
          <w:color w:val="auto"/>
          <w:lang w:val="en-US" w:eastAsia="zh-CN"/>
        </w:rPr>
      </w:pPr>
      <w:bookmarkStart w:id="27" w:name="_Toc20481"/>
      <w:bookmarkStart w:id="28" w:name="_Toc35010022"/>
      <w:bookmarkStart w:id="29" w:name="_Toc4291"/>
      <w:bookmarkStart w:id="30" w:name="_Toc7268"/>
      <w:bookmarkStart w:id="31" w:name="_Toc30748"/>
      <w:r>
        <w:rPr>
          <w:rFonts w:hint="default" w:ascii="Times New Roman" w:hAnsi="Times New Roman" w:eastAsia="仿宋" w:cs="Times New Roman"/>
          <w:color w:val="auto"/>
          <w:lang w:val="en-US" w:eastAsia="zh-CN"/>
        </w:rPr>
        <w:t>2.3调查范围</w:t>
      </w:r>
      <w:bookmarkEnd w:id="27"/>
      <w:bookmarkEnd w:id="28"/>
      <w:bookmarkEnd w:id="29"/>
      <w:bookmarkEnd w:id="30"/>
      <w:bookmarkEnd w:id="31"/>
    </w:p>
    <w:p w14:paraId="39DC4B9B">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仿宋" w:cs="Times New Roman"/>
          <w:color w:val="auto"/>
          <w:szCs w:val="28"/>
        </w:rPr>
      </w:pPr>
      <w:r>
        <w:rPr>
          <w:rFonts w:hint="default" w:ascii="Times New Roman" w:hAnsi="Times New Roman" w:eastAsia="仿宋" w:cs="Times New Roman"/>
          <w:color w:val="auto"/>
        </w:rPr>
        <w:t>本次调查地块为</w:t>
      </w:r>
      <w:r>
        <w:rPr>
          <w:rFonts w:hint="eastAsia" w:ascii="Times New Roman" w:hAnsi="Times New Roman" w:eastAsia="仿宋" w:cs="Times New Roman"/>
          <w:color w:val="auto"/>
          <w:lang w:val="en-US" w:eastAsia="zh-CN"/>
        </w:rPr>
        <w:t>南通</w:t>
      </w:r>
      <w:r>
        <w:rPr>
          <w:rFonts w:hint="eastAsia" w:eastAsia="仿宋" w:cs="Times New Roman"/>
          <w:color w:val="auto"/>
          <w:lang w:val="en-US" w:eastAsia="zh-CN"/>
        </w:rPr>
        <w:t>市</w:t>
      </w:r>
      <w:r>
        <w:rPr>
          <w:rFonts w:hint="eastAsia" w:ascii="Times New Roman" w:hAnsi="Times New Roman" w:eastAsia="仿宋" w:cs="Times New Roman"/>
          <w:color w:val="auto"/>
          <w:lang w:val="en-US" w:eastAsia="zh-CN"/>
        </w:rPr>
        <w:t>通州区十总小学篮球场地块</w:t>
      </w:r>
      <w:r>
        <w:rPr>
          <w:rFonts w:hint="default" w:ascii="Times New Roman" w:hAnsi="Times New Roman" w:eastAsia="仿宋" w:cs="Times New Roman"/>
          <w:color w:val="auto"/>
          <w:lang w:val="en-US" w:eastAsia="zh-CN"/>
        </w:rPr>
        <w:t>，地块位于</w:t>
      </w:r>
      <w:r>
        <w:rPr>
          <w:rFonts w:hint="eastAsia" w:ascii="Times New Roman" w:hAnsi="Times New Roman" w:eastAsia="仿宋" w:cs="Times New Roman"/>
          <w:color w:val="auto"/>
          <w:lang w:val="en-US" w:eastAsia="zh-CN"/>
        </w:rPr>
        <w:t>南通市通州区</w:t>
      </w:r>
      <w:r>
        <w:rPr>
          <w:rFonts w:hint="default" w:ascii="Times New Roman" w:hAnsi="Times New Roman" w:eastAsia="仿宋" w:cs="Times New Roman"/>
          <w:color w:val="auto"/>
          <w:lang w:val="en-US" w:eastAsia="zh-CN"/>
        </w:rPr>
        <w:t>，根据</w:t>
      </w:r>
      <w:r>
        <w:rPr>
          <w:rFonts w:hint="eastAsia" w:ascii="Times New Roman" w:hAnsi="Times New Roman" w:eastAsia="仿宋" w:cs="Times New Roman"/>
          <w:color w:val="auto"/>
          <w:lang w:val="en-US" w:eastAsia="zh-CN"/>
        </w:rPr>
        <w:t>南通市通州区十总镇人民政府</w:t>
      </w:r>
      <w:r>
        <w:rPr>
          <w:rFonts w:hint="default" w:ascii="Times New Roman" w:hAnsi="Times New Roman" w:eastAsia="仿宋" w:cs="Times New Roman"/>
          <w:color w:val="auto"/>
          <w:lang w:val="en-US" w:eastAsia="zh-CN"/>
        </w:rPr>
        <w:t>提供的红线图，本地块占地总面积为</w:t>
      </w:r>
      <w:r>
        <w:rPr>
          <w:rFonts w:hint="eastAsia" w:ascii="Times New Roman" w:hAnsi="Times New Roman" w:eastAsia="仿宋" w:cs="Times New Roman"/>
          <w:color w:val="auto"/>
          <w:lang w:val="en-US" w:eastAsia="zh-CN"/>
        </w:rPr>
        <w:t>2509</w:t>
      </w:r>
      <w:r>
        <w:rPr>
          <w:rFonts w:hint="default" w:ascii="Times New Roman" w:hAnsi="Times New Roman" w:eastAsia="仿宋" w:cs="Times New Roman"/>
          <w:color w:val="auto"/>
          <w:lang w:val="en-US" w:eastAsia="zh-CN"/>
        </w:rPr>
        <w:t>平方米，拐点坐标见表2.3-1，其调查</w:t>
      </w:r>
      <w:r>
        <w:rPr>
          <w:rFonts w:hint="default" w:ascii="Times New Roman" w:hAnsi="Times New Roman" w:eastAsia="仿宋" w:cs="Times New Roman"/>
          <w:color w:val="auto"/>
          <w:szCs w:val="28"/>
        </w:rPr>
        <w:t>红线如图</w:t>
      </w:r>
      <w:r>
        <w:rPr>
          <w:rFonts w:hint="default" w:ascii="Times New Roman" w:hAnsi="Times New Roman" w:eastAsia="仿宋" w:cs="Times New Roman"/>
          <w:color w:val="auto"/>
          <w:szCs w:val="28"/>
          <w:lang w:val="en-US" w:eastAsia="zh-CN"/>
        </w:rPr>
        <w:t>2</w:t>
      </w:r>
      <w:r>
        <w:rPr>
          <w:rFonts w:hint="default" w:ascii="Times New Roman" w:hAnsi="Times New Roman" w:eastAsia="仿宋" w:cs="Times New Roman"/>
          <w:color w:val="auto"/>
          <w:szCs w:val="28"/>
        </w:rPr>
        <w:t>.3-1。</w:t>
      </w:r>
    </w:p>
    <w:p w14:paraId="7449FA39">
      <w:pPr>
        <w:pStyle w:val="18"/>
        <w:keepNext w:val="0"/>
        <w:keepLines w:val="0"/>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表</w:t>
      </w:r>
      <w:r>
        <w:rPr>
          <w:rFonts w:hint="default" w:ascii="Times New Roman" w:hAnsi="Times New Roman" w:eastAsia="仿宋" w:cs="Times New Roman"/>
          <w:color w:val="auto"/>
          <w:lang w:val="en-US" w:eastAsia="zh-CN"/>
        </w:rPr>
        <w:t>2.3-1  地块</w:t>
      </w:r>
      <w:r>
        <w:rPr>
          <w:rFonts w:hint="default" w:ascii="Times New Roman" w:hAnsi="Times New Roman" w:eastAsia="仿宋" w:cs="Times New Roman"/>
          <w:color w:val="auto"/>
        </w:rPr>
        <w:t>边界坐标表</w:t>
      </w:r>
      <w:r>
        <w:rPr>
          <w:rFonts w:hint="default" w:ascii="Times New Roman" w:hAnsi="Times New Roman" w:eastAsia="仿宋" w:cs="Times New Roman"/>
          <w:color w:val="auto"/>
          <w:lang w:eastAsia="zh-CN"/>
        </w:rPr>
        <w:t>（</w:t>
      </w:r>
      <w:r>
        <w:rPr>
          <w:rFonts w:hint="default" w:ascii="Times New Roman" w:hAnsi="Times New Roman" w:eastAsia="仿宋" w:cs="Times New Roman"/>
          <w:color w:val="auto"/>
          <w:lang w:val="en-US" w:eastAsia="zh-CN"/>
        </w:rPr>
        <w:t>大地2000坐标系</w:t>
      </w:r>
      <w:r>
        <w:rPr>
          <w:rFonts w:hint="default" w:ascii="Times New Roman" w:hAnsi="Times New Roman" w:eastAsia="仿宋" w:cs="Times New Roman"/>
          <w:color w:val="auto"/>
          <w:lang w:eastAsia="zh-CN"/>
        </w:rPr>
        <w:t>）</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6"/>
        <w:gridCol w:w="3621"/>
        <w:gridCol w:w="3102"/>
      </w:tblGrid>
      <w:tr w14:paraId="325F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54" w:type="pct"/>
            <w:tcBorders>
              <w:tl2br w:val="nil"/>
              <w:tr2bl w:val="nil"/>
            </w:tcBorders>
            <w:vAlign w:val="center"/>
          </w:tcPr>
          <w:p w14:paraId="573D0A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
                <w:color w:val="auto"/>
                <w:sz w:val="21"/>
                <w:szCs w:val="21"/>
                <w:highlight w:val="none"/>
              </w:rPr>
            </w:pPr>
            <w:r>
              <w:rPr>
                <w:rFonts w:hint="default" w:ascii="Times New Roman" w:hAnsi="Times New Roman" w:eastAsia="仿宋" w:cs="Times New Roman"/>
                <w:b/>
                <w:color w:val="auto"/>
                <w:sz w:val="21"/>
                <w:szCs w:val="21"/>
                <w:highlight w:val="none"/>
              </w:rPr>
              <w:t>拐点编号</w:t>
            </w:r>
          </w:p>
        </w:tc>
        <w:tc>
          <w:tcPr>
            <w:tcW w:w="2125" w:type="pct"/>
            <w:tcBorders>
              <w:tl2br w:val="nil"/>
              <w:tr2bl w:val="nil"/>
            </w:tcBorders>
            <w:vAlign w:val="center"/>
          </w:tcPr>
          <w:p w14:paraId="6C5F6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color w:val="auto"/>
                <w:kern w:val="2"/>
                <w:sz w:val="21"/>
                <w:szCs w:val="21"/>
                <w:vertAlign w:val="baseline"/>
                <w:lang w:val="en-US" w:eastAsia="zh-CN" w:bidi="ar-SA"/>
              </w:rPr>
            </w:pPr>
            <w:r>
              <w:rPr>
                <w:rFonts w:hint="eastAsia" w:ascii="Times New Roman" w:hAnsi="Times New Roman" w:eastAsia="仿宋" w:cs="Times New Roman"/>
                <w:b w:val="0"/>
                <w:bCs w:val="0"/>
                <w:color w:val="auto"/>
                <w:sz w:val="21"/>
                <w:szCs w:val="21"/>
                <w:vertAlign w:val="baseline"/>
                <w:lang w:val="en-US" w:eastAsia="zh-CN"/>
              </w:rPr>
              <w:t>X</w:t>
            </w:r>
          </w:p>
        </w:tc>
        <w:tc>
          <w:tcPr>
            <w:tcW w:w="1820" w:type="pct"/>
            <w:tcBorders>
              <w:tl2br w:val="nil"/>
              <w:tr2bl w:val="nil"/>
            </w:tcBorders>
            <w:vAlign w:val="center"/>
          </w:tcPr>
          <w:p w14:paraId="1ECC5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 w:val="0"/>
                <w:bCs w:val="0"/>
                <w:color w:val="auto"/>
                <w:kern w:val="2"/>
                <w:sz w:val="21"/>
                <w:szCs w:val="21"/>
                <w:vertAlign w:val="baseline"/>
                <w:lang w:val="en-US" w:eastAsia="zh-CN" w:bidi="ar-SA"/>
              </w:rPr>
            </w:pPr>
            <w:r>
              <w:rPr>
                <w:rFonts w:hint="eastAsia" w:ascii="Times New Roman" w:hAnsi="Times New Roman" w:eastAsia="仿宋" w:cs="Times New Roman"/>
                <w:b w:val="0"/>
                <w:bCs w:val="0"/>
                <w:color w:val="auto"/>
                <w:sz w:val="21"/>
                <w:szCs w:val="21"/>
                <w:vertAlign w:val="baseline"/>
                <w:lang w:val="en-US" w:eastAsia="zh-CN"/>
              </w:rPr>
              <w:t>Y</w:t>
            </w:r>
          </w:p>
        </w:tc>
      </w:tr>
      <w:tr w14:paraId="76CF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4" w:type="pct"/>
            <w:tcBorders>
              <w:tl2br w:val="nil"/>
              <w:tr2bl w:val="nil"/>
            </w:tcBorders>
            <w:vAlign w:val="center"/>
          </w:tcPr>
          <w:p w14:paraId="214BEAE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default" w:ascii="Times New Roman" w:hAnsi="Times New Roman" w:eastAsia="仿宋" w:cs="Times New Roman"/>
                <w:bCs/>
                <w:color w:val="auto"/>
                <w:sz w:val="21"/>
                <w:szCs w:val="21"/>
                <w:highlight w:val="none"/>
                <w:lang w:val="en-US" w:eastAsia="zh-CN"/>
              </w:rPr>
              <w:t>GD1</w:t>
            </w:r>
          </w:p>
        </w:tc>
        <w:tc>
          <w:tcPr>
            <w:tcW w:w="2125" w:type="pct"/>
            <w:tcBorders>
              <w:tl2br w:val="nil"/>
              <w:tr2bl w:val="nil"/>
            </w:tcBorders>
            <w:vAlign w:val="center"/>
          </w:tcPr>
          <w:p w14:paraId="62FDB7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3563095.369</w:t>
            </w:r>
          </w:p>
        </w:tc>
        <w:tc>
          <w:tcPr>
            <w:tcW w:w="1820" w:type="pct"/>
            <w:tcBorders>
              <w:tl2br w:val="nil"/>
              <w:tr2bl w:val="nil"/>
            </w:tcBorders>
            <w:vAlign w:val="center"/>
          </w:tcPr>
          <w:p w14:paraId="135000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40605600.264</w:t>
            </w:r>
          </w:p>
        </w:tc>
      </w:tr>
      <w:tr w14:paraId="4A77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54" w:type="pct"/>
            <w:tcBorders>
              <w:tl2br w:val="nil"/>
              <w:tr2bl w:val="nil"/>
            </w:tcBorders>
            <w:vAlign w:val="center"/>
          </w:tcPr>
          <w:p w14:paraId="141E930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default" w:ascii="Times New Roman" w:hAnsi="Times New Roman" w:eastAsia="仿宋" w:cs="Times New Roman"/>
                <w:bCs/>
                <w:color w:val="auto"/>
                <w:sz w:val="21"/>
                <w:szCs w:val="21"/>
                <w:highlight w:val="none"/>
                <w:lang w:val="en-US" w:eastAsia="zh-CN"/>
              </w:rPr>
              <w:t>GD2</w:t>
            </w:r>
          </w:p>
        </w:tc>
        <w:tc>
          <w:tcPr>
            <w:tcW w:w="2125" w:type="pct"/>
            <w:tcBorders>
              <w:tl2br w:val="nil"/>
              <w:tr2bl w:val="nil"/>
            </w:tcBorders>
            <w:vAlign w:val="center"/>
          </w:tcPr>
          <w:p w14:paraId="5E22FF5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3563101.225</w:t>
            </w:r>
          </w:p>
        </w:tc>
        <w:tc>
          <w:tcPr>
            <w:tcW w:w="1820" w:type="pct"/>
            <w:tcBorders>
              <w:tl2br w:val="nil"/>
              <w:tr2bl w:val="nil"/>
            </w:tcBorders>
            <w:vAlign w:val="center"/>
          </w:tcPr>
          <w:p w14:paraId="29B58B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40605627.239</w:t>
            </w:r>
          </w:p>
        </w:tc>
      </w:tr>
      <w:tr w14:paraId="2A9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54" w:type="pct"/>
            <w:tcBorders>
              <w:tl2br w:val="nil"/>
              <w:tr2bl w:val="nil"/>
            </w:tcBorders>
            <w:vAlign w:val="center"/>
          </w:tcPr>
          <w:p w14:paraId="097D8B5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eastAsia="zh-CN"/>
              </w:rPr>
            </w:pPr>
            <w:r>
              <w:rPr>
                <w:rFonts w:hint="default" w:ascii="Times New Roman" w:hAnsi="Times New Roman" w:eastAsia="仿宋" w:cs="Times New Roman"/>
                <w:bCs/>
                <w:color w:val="auto"/>
                <w:sz w:val="21"/>
                <w:szCs w:val="21"/>
                <w:highlight w:val="none"/>
                <w:lang w:val="en-US" w:eastAsia="zh-CN"/>
              </w:rPr>
              <w:t>GD3</w:t>
            </w:r>
          </w:p>
        </w:tc>
        <w:tc>
          <w:tcPr>
            <w:tcW w:w="2125" w:type="pct"/>
            <w:tcBorders>
              <w:tl2br w:val="nil"/>
              <w:tr2bl w:val="nil"/>
            </w:tcBorders>
            <w:vAlign w:val="center"/>
          </w:tcPr>
          <w:p w14:paraId="0D7E1DF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3563071.988</w:t>
            </w:r>
          </w:p>
        </w:tc>
        <w:tc>
          <w:tcPr>
            <w:tcW w:w="1820" w:type="pct"/>
            <w:tcBorders>
              <w:tl2br w:val="nil"/>
              <w:tr2bl w:val="nil"/>
            </w:tcBorders>
            <w:vAlign w:val="center"/>
          </w:tcPr>
          <w:p w14:paraId="57A0F57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40605630.713</w:t>
            </w:r>
          </w:p>
        </w:tc>
      </w:tr>
      <w:tr w14:paraId="1FB1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54" w:type="pct"/>
            <w:tcBorders>
              <w:tl2br w:val="nil"/>
              <w:tr2bl w:val="nil"/>
            </w:tcBorders>
            <w:vAlign w:val="center"/>
          </w:tcPr>
          <w:p w14:paraId="299DD3F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eastAsia="zh-CN"/>
              </w:rPr>
            </w:pPr>
            <w:r>
              <w:rPr>
                <w:rFonts w:hint="default" w:ascii="Times New Roman" w:hAnsi="Times New Roman" w:eastAsia="仿宋" w:cs="Times New Roman"/>
                <w:bCs/>
                <w:color w:val="auto"/>
                <w:sz w:val="21"/>
                <w:szCs w:val="21"/>
                <w:highlight w:val="none"/>
                <w:lang w:val="en-US" w:eastAsia="zh-CN"/>
              </w:rPr>
              <w:t>GD4</w:t>
            </w:r>
          </w:p>
        </w:tc>
        <w:tc>
          <w:tcPr>
            <w:tcW w:w="2125" w:type="pct"/>
            <w:tcBorders>
              <w:tl2br w:val="nil"/>
              <w:tr2bl w:val="nil"/>
            </w:tcBorders>
            <w:vAlign w:val="center"/>
          </w:tcPr>
          <w:p w14:paraId="4E7F5CB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3563071.302</w:t>
            </w:r>
          </w:p>
        </w:tc>
        <w:tc>
          <w:tcPr>
            <w:tcW w:w="1820" w:type="pct"/>
            <w:tcBorders>
              <w:tl2br w:val="nil"/>
              <w:tr2bl w:val="nil"/>
            </w:tcBorders>
            <w:vAlign w:val="center"/>
          </w:tcPr>
          <w:p w14:paraId="708334D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40605626.180</w:t>
            </w:r>
          </w:p>
        </w:tc>
      </w:tr>
      <w:tr w14:paraId="7B5F9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54" w:type="pct"/>
            <w:tcBorders>
              <w:tl2br w:val="nil"/>
              <w:tr2bl w:val="nil"/>
            </w:tcBorders>
            <w:vAlign w:val="center"/>
          </w:tcPr>
          <w:p w14:paraId="763A80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default" w:ascii="Times New Roman" w:hAnsi="Times New Roman" w:eastAsia="仿宋" w:cs="Times New Roman"/>
                <w:bCs/>
                <w:color w:val="auto"/>
                <w:sz w:val="21"/>
                <w:szCs w:val="21"/>
                <w:highlight w:val="none"/>
                <w:lang w:val="en-US" w:eastAsia="zh-CN"/>
              </w:rPr>
              <w:t>GD</w:t>
            </w:r>
            <w:r>
              <w:rPr>
                <w:rFonts w:hint="eastAsia" w:eastAsia="仿宋" w:cs="Times New Roman"/>
                <w:bCs/>
                <w:color w:val="auto"/>
                <w:sz w:val="21"/>
                <w:szCs w:val="21"/>
                <w:highlight w:val="none"/>
                <w:lang w:val="en-US" w:eastAsia="zh-CN"/>
              </w:rPr>
              <w:t>5</w:t>
            </w:r>
          </w:p>
        </w:tc>
        <w:tc>
          <w:tcPr>
            <w:tcW w:w="2125" w:type="pct"/>
            <w:tcBorders>
              <w:tl2br w:val="nil"/>
              <w:tr2bl w:val="nil"/>
            </w:tcBorders>
            <w:vAlign w:val="center"/>
          </w:tcPr>
          <w:p w14:paraId="76643DB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3563007.313</w:t>
            </w:r>
          </w:p>
        </w:tc>
        <w:tc>
          <w:tcPr>
            <w:tcW w:w="1820" w:type="pct"/>
            <w:tcBorders>
              <w:tl2br w:val="nil"/>
              <w:tr2bl w:val="nil"/>
            </w:tcBorders>
            <w:vAlign w:val="center"/>
          </w:tcPr>
          <w:p w14:paraId="781278C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40605633.716</w:t>
            </w:r>
          </w:p>
        </w:tc>
      </w:tr>
      <w:tr w14:paraId="24A4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054" w:type="pct"/>
            <w:tcBorders>
              <w:tl2br w:val="nil"/>
              <w:tr2bl w:val="nil"/>
            </w:tcBorders>
            <w:vAlign w:val="center"/>
          </w:tcPr>
          <w:p w14:paraId="32E03D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default" w:ascii="Times New Roman" w:hAnsi="Times New Roman" w:eastAsia="仿宋" w:cs="Times New Roman"/>
                <w:bCs/>
                <w:color w:val="auto"/>
                <w:sz w:val="21"/>
                <w:szCs w:val="21"/>
                <w:highlight w:val="none"/>
                <w:lang w:val="en-US" w:eastAsia="zh-CN"/>
              </w:rPr>
              <w:t>GD</w:t>
            </w:r>
            <w:r>
              <w:rPr>
                <w:rFonts w:hint="eastAsia" w:eastAsia="仿宋" w:cs="Times New Roman"/>
                <w:bCs/>
                <w:color w:val="auto"/>
                <w:sz w:val="21"/>
                <w:szCs w:val="21"/>
                <w:highlight w:val="none"/>
                <w:lang w:val="en-US" w:eastAsia="zh-CN"/>
              </w:rPr>
              <w:t>6</w:t>
            </w:r>
          </w:p>
        </w:tc>
        <w:tc>
          <w:tcPr>
            <w:tcW w:w="2125" w:type="pct"/>
            <w:tcBorders>
              <w:tl2br w:val="nil"/>
              <w:tr2bl w:val="nil"/>
            </w:tcBorders>
            <w:vAlign w:val="center"/>
          </w:tcPr>
          <w:p w14:paraId="20B6231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3563004.152</w:t>
            </w:r>
          </w:p>
        </w:tc>
        <w:tc>
          <w:tcPr>
            <w:tcW w:w="1820" w:type="pct"/>
            <w:tcBorders>
              <w:tl2br w:val="nil"/>
              <w:tr2bl w:val="nil"/>
            </w:tcBorders>
            <w:vAlign w:val="center"/>
          </w:tcPr>
          <w:p w14:paraId="6142194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仿宋" w:cs="Times New Roman"/>
                <w:bCs/>
                <w:color w:val="auto"/>
                <w:sz w:val="21"/>
                <w:szCs w:val="21"/>
                <w:highlight w:val="none"/>
                <w:lang w:val="en-US" w:eastAsia="zh-CN"/>
              </w:rPr>
            </w:pPr>
            <w:r>
              <w:rPr>
                <w:rFonts w:hint="eastAsia" w:ascii="Times New Roman" w:hAnsi="Times New Roman" w:eastAsia="仿宋" w:cs="Times New Roman"/>
                <w:bCs/>
                <w:color w:val="auto"/>
                <w:sz w:val="21"/>
                <w:szCs w:val="21"/>
                <w:highlight w:val="none"/>
                <w:lang w:val="en-US" w:eastAsia="zh-CN"/>
              </w:rPr>
              <w:t>40605605.323</w:t>
            </w:r>
          </w:p>
        </w:tc>
      </w:tr>
    </w:tbl>
    <w:p w14:paraId="6D5E8D02">
      <w:pPr>
        <w:pStyle w:val="7"/>
        <w:spacing w:after="0" w:line="240" w:lineRule="auto"/>
        <w:ind w:firstLine="0" w:firstLineChars="0"/>
        <w:jc w:val="center"/>
        <w:rPr>
          <w:rFonts w:hint="default" w:ascii="Times New Roman" w:hAnsi="Times New Roman" w:eastAsia="仿宋" w:cs="Times New Roman"/>
          <w:color w:val="auto"/>
          <w:lang w:eastAsia="zh-CN"/>
        </w:rPr>
      </w:pPr>
      <w:r>
        <w:rPr>
          <w:color w:val="auto"/>
        </w:rPr>
        <w:drawing>
          <wp:inline distT="0" distB="0" distL="114300" distR="114300">
            <wp:extent cx="4162425" cy="8096250"/>
            <wp:effectExtent l="0" t="0" r="9525" b="0"/>
            <wp:docPr id="1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
                    <pic:cNvPicPr>
                      <a:picLocks noChangeAspect="1"/>
                    </pic:cNvPicPr>
                  </pic:nvPicPr>
                  <pic:blipFill>
                    <a:blip r:embed="rId22"/>
                    <a:stretch>
                      <a:fillRect/>
                    </a:stretch>
                  </pic:blipFill>
                  <pic:spPr>
                    <a:xfrm>
                      <a:off x="0" y="0"/>
                      <a:ext cx="4162425" cy="8096250"/>
                    </a:xfrm>
                    <a:prstGeom prst="rect">
                      <a:avLst/>
                    </a:prstGeom>
                    <a:noFill/>
                    <a:ln>
                      <a:noFill/>
                    </a:ln>
                  </pic:spPr>
                </pic:pic>
              </a:graphicData>
            </a:graphic>
          </wp:inline>
        </w:drawing>
      </w:r>
    </w:p>
    <w:p w14:paraId="0A8F4822">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rPr>
        <w:t>图</w:t>
      </w:r>
      <w:r>
        <w:rPr>
          <w:rFonts w:hint="default" w:ascii="Times New Roman" w:hAnsi="Times New Roman" w:eastAsia="仿宋" w:cs="Times New Roman"/>
          <w:color w:val="auto"/>
          <w:lang w:val="en-US" w:eastAsia="zh-CN"/>
        </w:rPr>
        <w:t>2</w:t>
      </w:r>
      <w:r>
        <w:rPr>
          <w:rFonts w:hint="default" w:ascii="Times New Roman" w:hAnsi="Times New Roman" w:eastAsia="仿宋" w:cs="Times New Roman"/>
          <w:color w:val="auto"/>
        </w:rPr>
        <w:t>.3-1</w:t>
      </w:r>
      <w:r>
        <w:rPr>
          <w:rFonts w:hint="default" w:ascii="Times New Roman" w:hAnsi="Times New Roman" w:eastAsia="仿宋" w:cs="Times New Roman"/>
          <w:color w:val="auto"/>
          <w:lang w:val="en-US" w:eastAsia="zh-CN"/>
        </w:rPr>
        <w:t xml:space="preserve">  本次调查地块范围示意图</w:t>
      </w:r>
    </w:p>
    <w:p w14:paraId="29808741">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drawing>
          <wp:inline distT="0" distB="0" distL="114300" distR="114300">
            <wp:extent cx="4745990" cy="6328410"/>
            <wp:effectExtent l="0" t="0" r="16510" b="15240"/>
            <wp:docPr id="117" name="图片 117" descr="dea9852a196c7af78f3106ef84da1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dea9852a196c7af78f3106ef84da1c2"/>
                    <pic:cNvPicPr>
                      <a:picLocks noChangeAspect="1"/>
                    </pic:cNvPicPr>
                  </pic:nvPicPr>
                  <pic:blipFill>
                    <a:blip r:embed="rId23"/>
                    <a:stretch>
                      <a:fillRect/>
                    </a:stretch>
                  </pic:blipFill>
                  <pic:spPr>
                    <a:xfrm>
                      <a:off x="0" y="0"/>
                      <a:ext cx="4745990" cy="6328410"/>
                    </a:xfrm>
                    <a:prstGeom prst="rect">
                      <a:avLst/>
                    </a:prstGeom>
                  </pic:spPr>
                </pic:pic>
              </a:graphicData>
            </a:graphic>
          </wp:inline>
        </w:drawing>
      </w:r>
    </w:p>
    <w:p w14:paraId="43319C5C">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图2.3-1  本次调查地块</w:t>
      </w:r>
      <w:r>
        <w:rPr>
          <w:rFonts w:hint="eastAsia" w:ascii="Times New Roman" w:hAnsi="Times New Roman" w:eastAsia="仿宋" w:cs="Times New Roman"/>
          <w:color w:val="auto"/>
          <w:lang w:val="en-US" w:eastAsia="zh-CN"/>
        </w:rPr>
        <w:t>红线图</w:t>
      </w:r>
    </w:p>
    <w:p w14:paraId="561FA38A">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pPr>
    </w:p>
    <w:p w14:paraId="2C2CD2C1">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pPr>
    </w:p>
    <w:p w14:paraId="31CC3C96">
      <w:pPr>
        <w:pStyle w:val="18"/>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default" w:ascii="Times New Roman" w:hAnsi="Times New Roman" w:eastAsia="仿宋" w:cs="Times New Roman"/>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542F367">
      <w:pPr>
        <w:pStyle w:val="3"/>
        <w:pageBreakBefore w:val="0"/>
        <w:widowControl w:val="0"/>
        <w:numPr>
          <w:ilvl w:val="1"/>
          <w:numId w:val="0"/>
        </w:numPr>
        <w:kinsoku/>
        <w:wordWrap/>
        <w:overflowPunct/>
        <w:topLinePunct w:val="0"/>
        <w:autoSpaceDE/>
        <w:autoSpaceDN/>
        <w:bidi w:val="0"/>
        <w:adjustRightInd/>
        <w:snapToGrid/>
        <w:spacing w:before="0" w:beforeLines="0" w:after="0" w:afterLines="0"/>
        <w:ind w:leftChars="0"/>
        <w:textAlignment w:val="auto"/>
        <w:rPr>
          <w:rFonts w:hint="default" w:ascii="Times New Roman" w:hAnsi="Times New Roman" w:eastAsia="仿宋" w:cs="Times New Roman"/>
          <w:color w:val="auto"/>
          <w:lang w:val="en-US" w:eastAsia="zh-CN"/>
        </w:rPr>
      </w:pPr>
      <w:bookmarkStart w:id="32" w:name="_Toc24834"/>
      <w:bookmarkStart w:id="33" w:name="_Toc35010023"/>
      <w:bookmarkStart w:id="34" w:name="_Toc14914"/>
      <w:bookmarkStart w:id="35" w:name="_Toc21032"/>
      <w:bookmarkStart w:id="36" w:name="_Toc24757"/>
      <w:r>
        <w:rPr>
          <w:rFonts w:hint="default" w:ascii="Times New Roman" w:hAnsi="Times New Roman" w:eastAsia="仿宋" w:cs="Times New Roman"/>
          <w:color w:val="auto"/>
          <w:lang w:val="en-US" w:eastAsia="zh-CN"/>
        </w:rPr>
        <w:t>2.4调查与评估依据</w:t>
      </w:r>
      <w:bookmarkEnd w:id="32"/>
      <w:bookmarkEnd w:id="33"/>
      <w:bookmarkEnd w:id="34"/>
      <w:bookmarkEnd w:id="35"/>
      <w:bookmarkEnd w:id="36"/>
    </w:p>
    <w:p w14:paraId="1127BCEE">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37" w:name="_Toc29309"/>
      <w:r>
        <w:rPr>
          <w:rFonts w:hint="default" w:ascii="Times New Roman" w:hAnsi="Times New Roman" w:eastAsia="仿宋" w:cs="Times New Roman"/>
          <w:color w:val="auto"/>
          <w:szCs w:val="22"/>
          <w:lang w:val="en-US" w:eastAsia="zh-CN"/>
        </w:rPr>
        <w:t>2.4.1国家有关法律法规及规范性文件</w:t>
      </w:r>
      <w:bookmarkEnd w:id="37"/>
    </w:p>
    <w:p w14:paraId="150A751F">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《中华人民共和国环境保护法》（2014年4月24日，2015年1月1日起施行）；</w:t>
      </w:r>
    </w:p>
    <w:p w14:paraId="5209629C">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《中华人民共和国土壤污染防治法》（2018年8月31日第十三届全国人民代表大会常务委员会第五次会议通过）；</w:t>
      </w:r>
    </w:p>
    <w:p w14:paraId="1389FEF2">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《中华人民共和国固体废物污染环境防治法》（2020</w:t>
      </w:r>
      <w:r>
        <w:rPr>
          <w:rFonts w:hint="default" w:ascii="Times New Roman" w:hAnsi="Times New Roman" w:eastAsia="仿宋" w:cs="Times New Roman"/>
          <w:color w:val="auto"/>
          <w:lang w:val="en-US" w:eastAsia="zh-CN"/>
        </w:rPr>
        <w:t>年9月1日施行</w:t>
      </w:r>
      <w:r>
        <w:rPr>
          <w:rFonts w:hint="default" w:ascii="Times New Roman" w:hAnsi="Times New Roman" w:eastAsia="仿宋" w:cs="Times New Roman"/>
          <w:color w:val="auto"/>
        </w:rPr>
        <w:t>）；</w:t>
      </w:r>
    </w:p>
    <w:p w14:paraId="18D88FFD">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《土壤污染防治行动计划》（国发〔201</w:t>
      </w:r>
      <w:r>
        <w:rPr>
          <w:rFonts w:hint="default" w:ascii="Times New Roman" w:hAnsi="Times New Roman" w:eastAsia="仿宋" w:cs="Times New Roman"/>
          <w:color w:val="auto"/>
          <w:lang w:val="en-US" w:eastAsia="zh-CN"/>
        </w:rPr>
        <w:t>6</w:t>
      </w:r>
      <w:r>
        <w:rPr>
          <w:rFonts w:hint="default" w:ascii="Times New Roman" w:hAnsi="Times New Roman" w:eastAsia="仿宋" w:cs="Times New Roman"/>
          <w:color w:val="auto"/>
        </w:rPr>
        <w:t>〕31号）；</w:t>
      </w:r>
    </w:p>
    <w:p w14:paraId="7D4C0E72">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《关于保障工业企业场地开发利用环境安全的通知》（环发 〔2012〕140号）；</w:t>
      </w:r>
    </w:p>
    <w:p w14:paraId="2B69B35B">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《国务院关于印发土壤污染防治行动计划的通知》（国发 [2016]31号）； ⑺《污染地块土壤环境管理办法（试行）》（环境保护部令第42 号）；</w:t>
      </w:r>
    </w:p>
    <w:p w14:paraId="1CFAC387">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《关于贯彻落实土壤污染防治法推动解决突出土壤污染问题的 实施意见》（环办土壤〔2019〕47号）；</w:t>
      </w:r>
    </w:p>
    <w:p w14:paraId="164CE2FA">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《关于印发地下水污染防治实施方案的通知》（环土壤〔2019〕 25号）</w:t>
      </w:r>
    </w:p>
    <w:p w14:paraId="2752AB10">
      <w:pPr>
        <w:pStyle w:val="7"/>
        <w:keepNext w:val="0"/>
        <w:keepLines w:val="0"/>
        <w:pageBreakBefore w:val="0"/>
        <w:widowControl w:val="0"/>
        <w:numPr>
          <w:ilvl w:val="0"/>
          <w:numId w:val="3"/>
        </w:numPr>
        <w:kinsoku/>
        <w:wordWrap/>
        <w:overflowPunct/>
        <w:topLinePunct w:val="0"/>
        <w:autoSpaceDE/>
        <w:autoSpaceDN/>
        <w:bidi w:val="0"/>
        <w:adjustRightInd/>
        <w:snapToGrid/>
        <w:ind w:left="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《建设用地土壤污染状况调查质量控制技术规定（试行）》（生态环境部 公告2022年第17号）。</w:t>
      </w:r>
    </w:p>
    <w:p w14:paraId="0251D74D">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38" w:name="_Toc4091"/>
      <w:r>
        <w:rPr>
          <w:rFonts w:hint="default" w:ascii="Times New Roman" w:hAnsi="Times New Roman" w:eastAsia="仿宋" w:cs="Times New Roman"/>
          <w:color w:val="auto"/>
          <w:szCs w:val="22"/>
          <w:lang w:val="en-US" w:eastAsia="zh-CN"/>
        </w:rPr>
        <w:t>2.4.2地方有关法规、规章及规范性文件</w:t>
      </w:r>
      <w:bookmarkEnd w:id="38"/>
    </w:p>
    <w:p w14:paraId="472F2648">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《中共江苏省委江苏省人民政府关于加强生态环境保护和建设 的意见》（苏发〔2003〕7号）；</w:t>
      </w:r>
    </w:p>
    <w:p w14:paraId="6E880629">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《江苏省固体废物污染环境防治条例》（公告第29号）；</w:t>
      </w:r>
    </w:p>
    <w:p w14:paraId="0476772A">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《关于加强我省工业企业场地再开发利用环境安全管理工作的 通知》（苏环办〔2013〕157号文）；</w:t>
      </w:r>
    </w:p>
    <w:p w14:paraId="329BB5B4">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《江苏省政府关于印发江苏省土壤污染防治工作方案的通知》 （苏政发〔2016〕169 号）；</w:t>
      </w:r>
    </w:p>
    <w:p w14:paraId="1404D060">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《江苏省土壤污染防治条例》（2022年3月31日江苏省第十三 届人民代表大会常务委员会第二十九次会议通过）；</w:t>
      </w:r>
    </w:p>
    <w:p w14:paraId="5BA5C229">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rPr>
        <w:t>《南通市土壤污染防治工作方案》（通政发〔2017〕20号）；</w:t>
      </w:r>
    </w:p>
    <w:p w14:paraId="5BAD7C8D">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rPr>
        <w:t>《南通市生态环境局关于加强污染地块环境监管的通知》（通土环〔2019〕4号）；</w:t>
      </w:r>
    </w:p>
    <w:p w14:paraId="12BA42C5">
      <w:pPr>
        <w:pStyle w:val="7"/>
        <w:keepNext w:val="0"/>
        <w:keepLines w:val="0"/>
        <w:pageBreakBefore w:val="0"/>
        <w:widowControl w:val="0"/>
        <w:numPr>
          <w:ilvl w:val="0"/>
          <w:numId w:val="4"/>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rPr>
        <w:t xml:space="preserve"> 关于印发《南通市建设用地土壤污染状况调查报告评审工作指南（2023年修订）》的通知（通环土〔2023〕10号）。</w:t>
      </w:r>
    </w:p>
    <w:p w14:paraId="05615546">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39" w:name="_Toc24162"/>
      <w:r>
        <w:rPr>
          <w:rFonts w:hint="default" w:ascii="Times New Roman" w:hAnsi="Times New Roman" w:eastAsia="仿宋" w:cs="Times New Roman"/>
          <w:color w:val="auto"/>
          <w:szCs w:val="22"/>
          <w:lang w:val="en-US" w:eastAsia="zh-CN"/>
        </w:rPr>
        <w:t>2.4.3技术导则、相关标准及规范</w:t>
      </w:r>
      <w:bookmarkEnd w:id="39"/>
    </w:p>
    <w:p w14:paraId="246CE25C">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《建设用地土壤污染风险管控和修复术语》（HJ682-2019）；</w:t>
      </w:r>
    </w:p>
    <w:p w14:paraId="19584BC6">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《建设用地土壤污染状况调查技术导则》（HJ25.1-2019）；</w:t>
      </w:r>
    </w:p>
    <w:p w14:paraId="4A1C49B7">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《建设用地土壤污染风险管控和修复监测技术导则》（HJ25.2-2019）；</w:t>
      </w:r>
    </w:p>
    <w:p w14:paraId="703E59AA">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《建设用地土壤环境调查评估技术指南》（公告 2017年 第72 号）；</w:t>
      </w:r>
    </w:p>
    <w:p w14:paraId="47314A36">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《工业企业场地环境调查评估与修复工作指南（试行）》（公告 2014年 第78号）；</w:t>
      </w:r>
    </w:p>
    <w:p w14:paraId="6593EF5A">
      <w:pPr>
        <w:pStyle w:val="7"/>
        <w:keepNext w:val="0"/>
        <w:keepLines w:val="0"/>
        <w:pageBreakBefore w:val="0"/>
        <w:widowControl w:val="0"/>
        <w:numPr>
          <w:ilvl w:val="0"/>
          <w:numId w:val="5"/>
        </w:numPr>
        <w:kinsoku/>
        <w:wordWrap/>
        <w:overflowPunct/>
        <w:topLinePunct w:val="0"/>
        <w:autoSpaceDE/>
        <w:autoSpaceDN/>
        <w:bidi w:val="0"/>
        <w:adjustRightInd/>
        <w:snapToGrid/>
        <w:spacing w:after="0"/>
        <w:ind w:left="0" w:leftChars="0" w:firstLine="480" w:firstLineChars="20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rPr>
        <w:t>《土壤环境监测技术规范》（HJ/T166-2004）。</w:t>
      </w:r>
    </w:p>
    <w:p w14:paraId="321F3688">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40" w:name="_Toc21049"/>
      <w:bookmarkStart w:id="41" w:name="_Toc13669"/>
      <w:bookmarkStart w:id="42" w:name="_Toc17073"/>
      <w:bookmarkStart w:id="43" w:name="_Toc35010026"/>
      <w:r>
        <w:rPr>
          <w:rFonts w:hint="default" w:ascii="Times New Roman" w:hAnsi="Times New Roman" w:eastAsia="仿宋" w:cs="Times New Roman"/>
          <w:color w:val="auto"/>
          <w:szCs w:val="22"/>
          <w:lang w:val="en-US" w:eastAsia="zh-CN"/>
        </w:rPr>
        <w:t>2.4.4评价标准</w:t>
      </w:r>
      <w:bookmarkEnd w:id="40"/>
      <w:bookmarkEnd w:id="41"/>
      <w:bookmarkEnd w:id="42"/>
      <w:bookmarkEnd w:id="43"/>
    </w:p>
    <w:p w14:paraId="69F46377">
      <w:pPr>
        <w:keepNext w:val="0"/>
        <w:keepLines w:val="0"/>
        <w:pageBreakBefore w:val="0"/>
        <w:widowControl w:val="0"/>
        <w:numPr>
          <w:ilvl w:val="0"/>
          <w:numId w:val="6"/>
        </w:numPr>
        <w:tabs>
          <w:tab w:val="left" w:pos="420"/>
        </w:tabs>
        <w:kinsoku/>
        <w:wordWrap/>
        <w:overflowPunct/>
        <w:topLinePunct w:val="0"/>
        <w:autoSpaceDE/>
        <w:autoSpaceDN/>
        <w:bidi w:val="0"/>
        <w:adjustRightInd/>
        <w:snapToGrid/>
        <w:ind w:leftChars="0"/>
        <w:textAlignment w:val="auto"/>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rPr>
        <w:t>《土壤环境质量 建设用地土壤污染风险管控标准（试行）》(GB 36600-2018）；</w:t>
      </w:r>
    </w:p>
    <w:p w14:paraId="4DF8F901">
      <w:pPr>
        <w:keepNext w:val="0"/>
        <w:keepLines w:val="0"/>
        <w:pageBreakBefore w:val="0"/>
        <w:widowControl w:val="0"/>
        <w:numPr>
          <w:ilvl w:val="0"/>
          <w:numId w:val="6"/>
        </w:numPr>
        <w:tabs>
          <w:tab w:val="left" w:pos="420"/>
        </w:tabs>
        <w:kinsoku/>
        <w:wordWrap/>
        <w:overflowPunct/>
        <w:topLinePunct w:val="0"/>
        <w:autoSpaceDE/>
        <w:autoSpaceDN/>
        <w:bidi w:val="0"/>
        <w:adjustRightInd/>
        <w:snapToGrid/>
        <w:ind w:leftChars="0"/>
        <w:textAlignment w:val="auto"/>
        <w:rPr>
          <w:rFonts w:hint="default" w:ascii="Times New Roman" w:hAnsi="Times New Roman" w:eastAsia="仿宋" w:cs="Times New Roman"/>
          <w:color w:val="auto"/>
          <w:szCs w:val="18"/>
        </w:rPr>
      </w:pPr>
      <w:r>
        <w:rPr>
          <w:rFonts w:hint="default" w:ascii="Times New Roman" w:hAnsi="Times New Roman" w:eastAsia="仿宋" w:cs="Times New Roman"/>
          <w:color w:val="auto"/>
          <w:szCs w:val="18"/>
          <w:lang w:val="en-US" w:eastAsia="zh-CN"/>
        </w:rPr>
        <w:t>《建设用地土壤污染风险筛选值和管制值》（DB4403/T 67-2020）。</w:t>
      </w:r>
    </w:p>
    <w:p w14:paraId="73CD9141">
      <w:pPr>
        <w:pStyle w:val="4"/>
        <w:pageBreakBefore w:val="0"/>
        <w:widowControl w:val="0"/>
        <w:numPr>
          <w:ilvl w:val="2"/>
          <w:numId w:val="0"/>
        </w:numPr>
        <w:kinsoku/>
        <w:wordWrap/>
        <w:overflowPunct/>
        <w:topLinePunct w:val="0"/>
        <w:autoSpaceDE/>
        <w:autoSpaceDN/>
        <w:bidi w:val="0"/>
        <w:adjustRightInd/>
        <w:snapToGrid/>
        <w:spacing w:before="0" w:after="0"/>
        <w:ind w:leftChars="0"/>
        <w:textAlignment w:val="auto"/>
        <w:rPr>
          <w:rFonts w:hint="default" w:ascii="Times New Roman" w:hAnsi="Times New Roman" w:eastAsia="仿宋" w:cs="Times New Roman"/>
          <w:color w:val="auto"/>
          <w:szCs w:val="22"/>
          <w:lang w:val="en-US" w:eastAsia="zh-CN"/>
        </w:rPr>
      </w:pPr>
      <w:bookmarkStart w:id="44" w:name="_Toc7806"/>
      <w:r>
        <w:rPr>
          <w:rFonts w:hint="default" w:ascii="Times New Roman" w:hAnsi="Times New Roman" w:eastAsia="仿宋" w:cs="Times New Roman"/>
          <w:color w:val="auto"/>
          <w:szCs w:val="22"/>
          <w:lang w:val="en-US" w:eastAsia="zh-CN"/>
        </w:rPr>
        <w:t>2.4.5其他依据</w:t>
      </w:r>
      <w:bookmarkEnd w:id="44"/>
    </w:p>
    <w:p w14:paraId="2D64F419">
      <w:pPr>
        <w:numPr>
          <w:ilvl w:val="0"/>
          <w:numId w:val="7"/>
        </w:numPr>
        <w:bidi w:val="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w:t>
      </w:r>
      <w:r>
        <w:rPr>
          <w:rFonts w:hint="eastAsia" w:ascii="Times New Roman" w:hAnsi="Times New Roman" w:eastAsia="仿宋" w:cs="Times New Roman"/>
          <w:color w:val="auto"/>
          <w:lang w:val="en-US" w:eastAsia="zh-CN"/>
        </w:rPr>
        <w:t>南通</w:t>
      </w:r>
      <w:r>
        <w:rPr>
          <w:rFonts w:hint="eastAsia" w:eastAsia="仿宋" w:cs="Times New Roman"/>
          <w:color w:val="auto"/>
          <w:lang w:val="en-US" w:eastAsia="zh-CN"/>
        </w:rPr>
        <w:t>市</w:t>
      </w:r>
      <w:r>
        <w:rPr>
          <w:rFonts w:hint="eastAsia" w:ascii="Times New Roman" w:hAnsi="Times New Roman" w:eastAsia="仿宋" w:cs="Times New Roman"/>
          <w:color w:val="auto"/>
          <w:lang w:val="en-US" w:eastAsia="zh-CN"/>
        </w:rPr>
        <w:t>通州区十总小学篮球场地块</w:t>
      </w:r>
      <w:r>
        <w:rPr>
          <w:rFonts w:hint="default" w:ascii="Times New Roman" w:hAnsi="Times New Roman" w:eastAsia="仿宋" w:cs="Times New Roman"/>
          <w:color w:val="auto"/>
          <w:lang w:val="en-US" w:eastAsia="zh-CN"/>
        </w:rPr>
        <w:t>红线图》（2023年5月31日）；</w:t>
      </w:r>
    </w:p>
    <w:p w14:paraId="6676A252">
      <w:pPr>
        <w:numPr>
          <w:ilvl w:val="0"/>
          <w:numId w:val="7"/>
        </w:numPr>
        <w:bidi w:val="0"/>
        <w:rPr>
          <w:rFonts w:hint="default" w:ascii="Times New Roman" w:hAnsi="Times New Roman" w:eastAsia="仿宋" w:cs="Times New Roman"/>
          <w:color w:val="auto"/>
          <w:lang w:val="en-US" w:eastAsia="zh-CN"/>
        </w:rPr>
      </w:pPr>
      <w:r>
        <w:rPr>
          <w:rFonts w:hint="eastAsia" w:ascii="仿宋" w:hAnsi="仿宋" w:eastAsia="仿宋" w:cs="仿宋"/>
          <w:b w:val="0"/>
          <w:bCs w:val="0"/>
          <w:color w:val="auto"/>
          <w:sz w:val="24"/>
          <w:szCs w:val="32"/>
          <w:lang w:val="en-US" w:eastAsia="zh-CN"/>
        </w:rPr>
        <w:t>《南通市通州区十总镇人民政府南通市通州区十总镇骑岸居民联建楼》（勘察编号：KNT2015-21）》</w:t>
      </w:r>
      <w:r>
        <w:rPr>
          <w:rFonts w:hint="default" w:ascii="Times New Roman" w:hAnsi="Times New Roman" w:eastAsia="仿宋" w:cs="Times New Roman"/>
          <w:color w:val="auto"/>
          <w:lang w:val="en-US" w:eastAsia="zh-CN"/>
        </w:rPr>
        <w:t>；</w:t>
      </w:r>
    </w:p>
    <w:p w14:paraId="2CC0B21B">
      <w:pPr>
        <w:numPr>
          <w:ilvl w:val="0"/>
          <w:numId w:val="7"/>
        </w:numPr>
        <w:bidi w:val="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甲方提供的其他相关技术文件。</w:t>
      </w:r>
    </w:p>
    <w:p w14:paraId="4E0BCF9E">
      <w:pPr>
        <w:pStyle w:val="2"/>
        <w:keepNext w:val="0"/>
        <w:keepLines w:val="0"/>
        <w:widowControl w:val="0"/>
        <w:numPr>
          <w:ilvl w:val="0"/>
          <w:numId w:val="0"/>
        </w:numPr>
        <w:kinsoku/>
        <w:wordWrap/>
        <w:overflowPunct/>
        <w:topLinePunct w:val="0"/>
        <w:autoSpaceDE/>
        <w:autoSpaceDN/>
        <w:bidi w:val="0"/>
        <w:adjustRightInd/>
        <w:snapToGrid/>
        <w:spacing w:before="0" w:beforeLines="0" w:after="0" w:afterLines="0"/>
        <w:jc w:val="both"/>
        <w:textAlignment w:val="auto"/>
        <w:rPr>
          <w:rFonts w:hint="default" w:ascii="Times New Roman" w:hAnsi="Times New Roman" w:eastAsia="仿宋" w:cs="Times New Roman"/>
          <w:color w:val="auto"/>
          <w:lang w:val="en-US" w:eastAsia="zh-CN"/>
        </w:rPr>
      </w:pPr>
      <w:bookmarkStart w:id="45" w:name="_Toc20431"/>
      <w:bookmarkStart w:id="46" w:name="_Toc16740"/>
      <w:r>
        <w:rPr>
          <w:rFonts w:hint="default" w:ascii="Times New Roman" w:hAnsi="Times New Roman" w:eastAsia="仿宋" w:cs="Times New Roman"/>
          <w:color w:val="auto"/>
          <w:lang w:val="en-US" w:eastAsia="zh-CN"/>
        </w:rPr>
        <w:t>7 结论和建议</w:t>
      </w:r>
      <w:bookmarkEnd w:id="45"/>
      <w:bookmarkEnd w:id="46"/>
    </w:p>
    <w:p w14:paraId="6A94450D">
      <w:pPr>
        <w:pStyle w:val="3"/>
        <w:pageBreakBefore w:val="0"/>
        <w:widowControl w:val="0"/>
        <w:numPr>
          <w:ilvl w:val="1"/>
          <w:numId w:val="0"/>
        </w:numPr>
        <w:kinsoku/>
        <w:wordWrap/>
        <w:overflowPunct/>
        <w:topLinePunct w:val="0"/>
        <w:autoSpaceDE/>
        <w:autoSpaceDN/>
        <w:bidi w:val="0"/>
        <w:adjustRightInd/>
        <w:snapToGrid/>
        <w:spacing w:before="0" w:beforeLines="0" w:after="0" w:afterLines="0"/>
        <w:ind w:leftChars="0"/>
        <w:textAlignment w:val="auto"/>
        <w:rPr>
          <w:rFonts w:hint="default" w:ascii="Times New Roman" w:hAnsi="Times New Roman" w:eastAsia="仿宋" w:cs="Times New Roman"/>
          <w:color w:val="auto"/>
          <w:lang w:val="en-US" w:eastAsia="zh-CN"/>
        </w:rPr>
      </w:pPr>
      <w:bookmarkStart w:id="47" w:name="_Toc25465"/>
      <w:bookmarkStart w:id="48" w:name="_Toc3754"/>
      <w:r>
        <w:rPr>
          <w:rFonts w:hint="default" w:ascii="Times New Roman" w:hAnsi="Times New Roman" w:eastAsia="仿宋" w:cs="Times New Roman"/>
          <w:color w:val="auto"/>
          <w:lang w:val="en-US" w:eastAsia="zh-CN"/>
        </w:rPr>
        <w:t>7.1 结论</w:t>
      </w:r>
      <w:bookmarkEnd w:id="47"/>
      <w:bookmarkEnd w:id="48"/>
    </w:p>
    <w:p w14:paraId="33E4AB37">
      <w:pPr>
        <w:pStyle w:val="7"/>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根据历史资料的收集、现场踏勘、人员访谈情况，调查地块和周边相邻地块原有的历史使用过程中未发现可疑的污染源。地块表层土壤快速检测未见异常。该地块的环境状况可以接受，不属于污染地块，无需开展第二阶段土壤污染状况调查，满足</w:t>
      </w:r>
      <w:r>
        <w:rPr>
          <w:rFonts w:hint="default" w:ascii="Times New Roman" w:hAnsi="Times New Roman" w:eastAsia="仿宋" w:cs="Times New Roman"/>
          <w:color w:val="auto"/>
          <w:sz w:val="24"/>
          <w:szCs w:val="24"/>
          <w:lang w:val="en-US" w:eastAsia="zh-CN"/>
        </w:rPr>
        <w:t>《南通市通州区十总镇总体规划</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2016-2030</w:t>
      </w:r>
      <w:r>
        <w:rPr>
          <w:rFonts w:hint="eastAsia" w:eastAsia="仿宋" w:cs="Times New Roman"/>
          <w:color w:val="auto"/>
          <w:sz w:val="24"/>
          <w:szCs w:val="24"/>
          <w:lang w:val="en-US" w:eastAsia="zh-CN"/>
        </w:rPr>
        <w:t>）</w:t>
      </w:r>
      <w:r>
        <w:rPr>
          <w:rFonts w:hint="default" w:ascii="Times New Roman" w:hAnsi="Times New Roman" w:eastAsia="仿宋" w:cs="Times New Roman"/>
          <w:color w:val="auto"/>
          <w:sz w:val="24"/>
          <w:szCs w:val="24"/>
          <w:lang w:val="en-US" w:eastAsia="zh-CN"/>
        </w:rPr>
        <w:t>》</w:t>
      </w:r>
      <w:r>
        <w:rPr>
          <w:rFonts w:hint="default" w:ascii="Times New Roman" w:hAnsi="Times New Roman" w:eastAsia="仿宋" w:cs="Times New Roman"/>
          <w:color w:val="auto"/>
          <w:highlight w:val="none"/>
        </w:rPr>
        <w:t>规划用地（</w:t>
      </w:r>
      <w:r>
        <w:rPr>
          <w:rFonts w:hint="default" w:ascii="Times New Roman" w:hAnsi="Times New Roman" w:eastAsia="仿宋" w:cs="Times New Roman"/>
          <w:color w:val="auto"/>
          <w:highlight w:val="none"/>
          <w:lang w:val="en-US" w:eastAsia="zh-CN"/>
        </w:rPr>
        <w:t>教育科研用地</w:t>
      </w:r>
      <w:r>
        <w:rPr>
          <w:rFonts w:hint="default" w:ascii="Times New Roman" w:hAnsi="Times New Roman" w:eastAsia="仿宋" w:cs="Times New Roman"/>
          <w:color w:val="auto"/>
          <w:highlight w:val="none"/>
        </w:rPr>
        <w:t>）</w:t>
      </w:r>
      <w:r>
        <w:rPr>
          <w:rFonts w:hint="eastAsia" w:eastAsia="仿宋" w:cs="Times New Roman"/>
          <w:color w:val="auto"/>
          <w:highlight w:val="none"/>
          <w:lang w:val="en-US" w:eastAsia="zh-CN"/>
        </w:rPr>
        <w:t>要求</w:t>
      </w:r>
      <w:r>
        <w:rPr>
          <w:rFonts w:hint="default" w:ascii="Times New Roman" w:hAnsi="Times New Roman" w:eastAsia="仿宋" w:cs="Times New Roman"/>
          <w:color w:val="auto"/>
          <w:lang w:val="en-US" w:eastAsia="zh-CN"/>
        </w:rPr>
        <w:t>。</w:t>
      </w:r>
    </w:p>
    <w:p w14:paraId="797F8EA3">
      <w:pPr>
        <w:pStyle w:val="3"/>
        <w:pageBreakBefore w:val="0"/>
        <w:widowControl w:val="0"/>
        <w:numPr>
          <w:ilvl w:val="1"/>
          <w:numId w:val="0"/>
        </w:numPr>
        <w:kinsoku/>
        <w:wordWrap/>
        <w:overflowPunct/>
        <w:topLinePunct w:val="0"/>
        <w:autoSpaceDE/>
        <w:autoSpaceDN/>
        <w:bidi w:val="0"/>
        <w:adjustRightInd/>
        <w:snapToGrid/>
        <w:spacing w:before="0" w:beforeLines="0" w:after="0" w:afterLines="0"/>
        <w:ind w:leftChars="0"/>
        <w:textAlignment w:val="auto"/>
        <w:rPr>
          <w:rFonts w:hint="default" w:ascii="Times New Roman" w:hAnsi="Times New Roman" w:eastAsia="仿宋" w:cs="Times New Roman"/>
          <w:color w:val="auto"/>
          <w:lang w:val="en-US" w:eastAsia="zh-CN"/>
        </w:rPr>
      </w:pPr>
      <w:bookmarkStart w:id="49" w:name="_Toc27284"/>
      <w:bookmarkStart w:id="50" w:name="_Toc17469"/>
      <w:r>
        <w:rPr>
          <w:rFonts w:hint="default" w:ascii="Times New Roman" w:hAnsi="Times New Roman" w:eastAsia="仿宋" w:cs="Times New Roman"/>
          <w:color w:val="auto"/>
          <w:lang w:val="en-US" w:eastAsia="zh-CN"/>
        </w:rPr>
        <w:t>7.2 建议</w:t>
      </w:r>
      <w:bookmarkEnd w:id="49"/>
      <w:bookmarkEnd w:id="50"/>
    </w:p>
    <w:p w14:paraId="154D02EC">
      <w:pPr>
        <w:pStyle w:val="7"/>
        <w:keepNext w:val="0"/>
        <w:keepLines w:val="0"/>
        <w:pageBreakBefore w:val="0"/>
        <w:widowControl w:val="0"/>
        <w:kinsoku/>
        <w:wordWrap/>
        <w:overflowPunct/>
        <w:topLinePunct w:val="0"/>
        <w:autoSpaceDE/>
        <w:autoSpaceDN/>
        <w:bidi w:val="0"/>
        <w:adjustRightInd/>
        <w:snapToGrid/>
        <w:spacing w:after="0"/>
        <w:textAlignment w:val="auto"/>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在场地未来</w:t>
      </w:r>
      <w:r>
        <w:rPr>
          <w:rFonts w:hint="eastAsia" w:eastAsia="仿宋" w:cs="Times New Roman"/>
          <w:color w:val="auto"/>
          <w:lang w:val="en-US" w:eastAsia="zh-CN"/>
        </w:rPr>
        <w:t>使用</w:t>
      </w:r>
      <w:r>
        <w:rPr>
          <w:rFonts w:hint="default" w:ascii="Times New Roman" w:hAnsi="Times New Roman" w:eastAsia="仿宋" w:cs="Times New Roman"/>
          <w:color w:val="auto"/>
          <w:lang w:val="en-US" w:eastAsia="zh-CN"/>
        </w:rPr>
        <w:t>过程中，若发现疑似污染土壤或不明物质，应采取相应的环保措施，不得随意处置。</w:t>
      </w:r>
    </w:p>
    <w:p w14:paraId="3041655B">
      <w:bookmarkStart w:id="51" w:name="_GoBack"/>
      <w:bookmarkEnd w:id="5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1272B">
    <w:pPr>
      <w:pStyle w:val="9"/>
      <w:tabs>
        <w:tab w:val="clear" w:pos="8306"/>
      </w:tabs>
      <w:ind w:left="0" w:leftChars="0"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DFA7C">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C126D">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03E3A">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B557">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9A223">
    <w:pPr>
      <w:pStyle w:val="9"/>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29070">
    <w:pPr>
      <w:pStyle w:val="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3D9D1">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4273D9D1">
                    <w:pPr>
                      <w:pStyle w:val="9"/>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i/>
        <w:iCs/>
        <w:lang w:val="en-US" w:eastAsia="zh-CN"/>
      </w:rPr>
      <w:t>江苏</w:t>
    </w:r>
    <w:r>
      <w:rPr>
        <w:rFonts w:hint="eastAsia" w:ascii="Times New Roman" w:hAnsi="Times New Roman"/>
        <w:i/>
        <w:iCs/>
        <w:lang w:val="en-US" w:eastAsia="zh-CN"/>
      </w:rPr>
      <w:t>标普检测科技有限公司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9E431">
    <w:pPr>
      <w:pStyle w:val="10"/>
      <w:ind w:firstLine="0" w:firstLineChars="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BA649">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ECED6">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9E586">
    <w:pPr>
      <w:pStyle w:val="10"/>
      <w:pBdr>
        <w:bottom w:val="single" w:color="auto" w:sz="4" w:space="1"/>
      </w:pBdr>
      <w:ind w:firstLine="0" w:firstLineChars="0"/>
      <w:jc w:val="center"/>
      <w:rPr>
        <w:rFonts w:hint="default" w:eastAsia="宋体"/>
        <w:lang w:val="en-US" w:eastAsia="zh-CN"/>
      </w:rPr>
    </w:pPr>
    <w:r>
      <w:rPr>
        <w:rFonts w:hint="eastAsia"/>
        <w:lang w:val="en-US" w:eastAsia="zh-CN"/>
      </w:rPr>
      <w:t>南通通州区十总小学篮球场地块土壤污染状况调查报告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4B083">
    <w:pPr>
      <w:pStyle w:val="10"/>
      <w:tabs>
        <w:tab w:val="clear" w:pos="4153"/>
      </w:tabs>
      <w:ind w:firstLine="763" w:firstLineChars="0"/>
      <w:rPr>
        <w:rFonts w:hint="default"/>
        <w:lang w:val="en-US"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85D59">
    <w:pPr>
      <w:pStyle w:val="10"/>
      <w:pBdr>
        <w:bottom w:val="single" w:color="auto" w:sz="4" w:space="1"/>
      </w:pBdr>
      <w:ind w:firstLine="0" w:firstLineChars="0"/>
      <w:jc w:val="center"/>
      <w:rPr>
        <w:rFonts w:hint="default"/>
        <w:lang w:val="en-US" w:eastAsia="zh-CN"/>
      </w:rPr>
    </w:pPr>
    <w:r>
      <w:rPr>
        <w:rFonts w:hint="eastAsia"/>
        <w:lang w:val="en-US" w:eastAsia="zh-CN"/>
      </w:rPr>
      <w:t>南通市通州区十总小学篮球场地块土壤污染状况调查报告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822F3"/>
    <w:multiLevelType w:val="singleLevel"/>
    <w:tmpl w:val="97A822F3"/>
    <w:lvl w:ilvl="0" w:tentative="0">
      <w:start w:val="1"/>
      <w:numFmt w:val="decimal"/>
      <w:lvlText w:val="(%1)"/>
      <w:lvlJc w:val="left"/>
      <w:pPr>
        <w:ind w:left="425" w:hanging="425"/>
      </w:pPr>
      <w:rPr>
        <w:rFonts w:hint="default"/>
      </w:rPr>
    </w:lvl>
  </w:abstractNum>
  <w:abstractNum w:abstractNumId="1">
    <w:nsid w:val="B01F354E"/>
    <w:multiLevelType w:val="singleLevel"/>
    <w:tmpl w:val="B01F354E"/>
    <w:lvl w:ilvl="0" w:tentative="0">
      <w:start w:val="1"/>
      <w:numFmt w:val="decimal"/>
      <w:suff w:val="nothing"/>
      <w:lvlText w:val="（%1）"/>
      <w:lvlJc w:val="left"/>
    </w:lvl>
  </w:abstractNum>
  <w:abstractNum w:abstractNumId="2">
    <w:nsid w:val="B2FFF89E"/>
    <w:multiLevelType w:val="singleLevel"/>
    <w:tmpl w:val="B2FFF89E"/>
    <w:lvl w:ilvl="0" w:tentative="0">
      <w:start w:val="1"/>
      <w:numFmt w:val="decimal"/>
      <w:lvlText w:val="(%1)"/>
      <w:lvlJc w:val="left"/>
      <w:pPr>
        <w:ind w:left="425" w:hanging="425"/>
      </w:pPr>
      <w:rPr>
        <w:rFonts w:hint="default"/>
      </w:rPr>
    </w:lvl>
  </w:abstractNum>
  <w:abstractNum w:abstractNumId="3">
    <w:nsid w:val="DCD8E207"/>
    <w:multiLevelType w:val="singleLevel"/>
    <w:tmpl w:val="DCD8E207"/>
    <w:lvl w:ilvl="0" w:tentative="0">
      <w:start w:val="1"/>
      <w:numFmt w:val="decimal"/>
      <w:suff w:val="nothing"/>
      <w:lvlText w:val="（%1）"/>
      <w:lvlJc w:val="left"/>
    </w:lvl>
  </w:abstractNum>
  <w:abstractNum w:abstractNumId="4">
    <w:nsid w:val="ED0ABD74"/>
    <w:multiLevelType w:val="multilevel"/>
    <w:tmpl w:val="ED0ABD74"/>
    <w:lvl w:ilvl="0" w:tentative="0">
      <w:start w:val="1"/>
      <w:numFmt w:val="chineseCounting"/>
      <w:pStyle w:val="2"/>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5">
    <w:nsid w:val="63D3F65E"/>
    <w:multiLevelType w:val="singleLevel"/>
    <w:tmpl w:val="63D3F65E"/>
    <w:lvl w:ilvl="0" w:tentative="0">
      <w:start w:val="1"/>
      <w:numFmt w:val="bullet"/>
      <w:pStyle w:val="8"/>
      <w:lvlText w:val=""/>
      <w:lvlJc w:val="left"/>
      <w:pPr>
        <w:tabs>
          <w:tab w:val="left" w:pos="2040"/>
        </w:tabs>
        <w:ind w:left="2040" w:hanging="360"/>
      </w:pPr>
      <w:rPr>
        <w:rFonts w:hint="default" w:ascii="Wingdings" w:hAnsi="Wingdings"/>
      </w:rPr>
    </w:lvl>
  </w:abstractNum>
  <w:abstractNum w:abstractNumId="6">
    <w:nsid w:val="774910F4"/>
    <w:multiLevelType w:val="singleLevel"/>
    <w:tmpl w:val="774910F4"/>
    <w:lvl w:ilvl="0" w:tentative="0">
      <w:start w:val="1"/>
      <w:numFmt w:val="decimal"/>
      <w:lvlText w:val="(%1)"/>
      <w:lvlJc w:val="left"/>
      <w:pPr>
        <w:ind w:left="425" w:hanging="425"/>
      </w:pPr>
      <w:rPr>
        <w:rFonts w:hint="default"/>
      </w:rPr>
    </w:lvl>
  </w:abstractNum>
  <w:num w:numId="1">
    <w:abstractNumId w:val="4"/>
  </w:num>
  <w:num w:numId="2">
    <w:abstractNumId w:val="5"/>
  </w:num>
  <w:num w:numId="3">
    <w:abstractNumId w:val="0"/>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WVjOWFmYjM0NTIzMzMzZDIyY2RmZGY3MTNkYzcifQ=="/>
  </w:docVars>
  <w:rsids>
    <w:rsidRoot w:val="10FD28F1"/>
    <w:rsid w:val="10FD2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pageBreakBefore/>
      <w:numPr>
        <w:ilvl w:val="0"/>
        <w:numId w:val="1"/>
      </w:numPr>
      <w:spacing w:before="100" w:beforeLines="100" w:after="100" w:afterLines="100"/>
      <w:ind w:left="0" w:firstLine="0" w:firstLineChars="0"/>
      <w:outlineLvl w:val="0"/>
    </w:pPr>
    <w:rPr>
      <w:rFonts w:ascii="微软雅黑" w:hAnsi="微软雅黑" w:cs="微软雅黑"/>
      <w:b/>
      <w:bCs/>
      <w:kern w:val="0"/>
      <w:sz w:val="32"/>
      <w:szCs w:val="44"/>
      <w:lang w:val="zh-CN" w:bidi="zh-CN"/>
    </w:rPr>
  </w:style>
  <w:style w:type="paragraph" w:styleId="3">
    <w:name w:val="heading 2"/>
    <w:basedOn w:val="1"/>
    <w:next w:val="1"/>
    <w:qFormat/>
    <w:uiPriority w:val="0"/>
    <w:pPr>
      <w:numPr>
        <w:ilvl w:val="1"/>
        <w:numId w:val="1"/>
      </w:numPr>
      <w:spacing w:before="50" w:beforeLines="50" w:after="50" w:afterLines="50"/>
      <w:ind w:left="0" w:firstLine="0" w:firstLineChars="0"/>
      <w:jc w:val="left"/>
      <w:outlineLvl w:val="1"/>
    </w:pPr>
    <w:rPr>
      <w:rFonts w:ascii="微软雅黑" w:hAnsi="微软雅黑" w:cs="微软雅黑"/>
      <w:b/>
      <w:bCs/>
      <w:kern w:val="0"/>
      <w:sz w:val="28"/>
      <w:szCs w:val="28"/>
      <w:lang w:val="zh-CN" w:bidi="zh-CN"/>
    </w:rPr>
  </w:style>
  <w:style w:type="paragraph" w:styleId="4">
    <w:name w:val="heading 3"/>
    <w:basedOn w:val="1"/>
    <w:next w:val="1"/>
    <w:qFormat/>
    <w:uiPriority w:val="0"/>
    <w:pPr>
      <w:keepNext/>
      <w:keepLines/>
      <w:numPr>
        <w:ilvl w:val="2"/>
        <w:numId w:val="1"/>
      </w:numPr>
      <w:spacing w:before="10" w:after="10"/>
      <w:ind w:left="0" w:firstLine="0" w:firstLineChars="0"/>
      <w:outlineLvl w:val="2"/>
    </w:pPr>
    <w:rPr>
      <w:b/>
      <w:sz w:val="28"/>
    </w:rPr>
  </w:style>
  <w:style w:type="character" w:default="1" w:styleId="16">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qFormat/>
    <w:uiPriority w:val="0"/>
    <w:pPr>
      <w:jc w:val="left"/>
    </w:pPr>
  </w:style>
  <w:style w:type="paragraph" w:styleId="7">
    <w:name w:val="Body Text"/>
    <w:basedOn w:val="1"/>
    <w:next w:val="1"/>
    <w:qFormat/>
    <w:uiPriority w:val="0"/>
    <w:pPr>
      <w:spacing w:after="120"/>
    </w:pPr>
  </w:style>
  <w:style w:type="paragraph" w:styleId="8">
    <w:name w:val="List Bullet 5"/>
    <w:basedOn w:val="1"/>
    <w:uiPriority w:val="0"/>
    <w:pPr>
      <w:numPr>
        <w:ilvl w:val="0"/>
        <w:numId w:val="2"/>
      </w:numPr>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First Indent"/>
    <w:basedOn w:val="7"/>
    <w:qFormat/>
    <w:uiPriority w:val="0"/>
    <w:pPr>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其他文本"/>
    <w:basedOn w:val="1"/>
    <w:qFormat/>
    <w:uiPriority w:val="0"/>
    <w:pPr>
      <w:ind w:firstLine="0" w:firstLineChars="0"/>
      <w:jc w:val="center"/>
    </w:pPr>
    <w:rPr>
      <w:b/>
    </w:rPr>
  </w:style>
  <w:style w:type="paragraph" w:customStyle="1" w:styleId="18">
    <w:name w:val="图标题"/>
    <w:basedOn w:val="1"/>
    <w:qFormat/>
    <w:uiPriority w:val="0"/>
    <w:pPr>
      <w:spacing w:before="50" w:beforeLines="50" w:after="50" w:afterLines="50" w:line="240" w:lineRule="auto"/>
      <w:ind w:firstLine="0" w:firstLineChars="0"/>
      <w:jc w:val="center"/>
    </w:pPr>
    <w:rPr>
      <w:rFonts w:ascii="Calibri" w:hAnsi="Calibri" w:eastAsia="黑体"/>
      <w:b/>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4.jpeg"/><Relationship Id="rId22" Type="http://schemas.openxmlformats.org/officeDocument/2006/relationships/image" Target="media/image3.png"/><Relationship Id="rId21" Type="http://schemas.openxmlformats.org/officeDocument/2006/relationships/image" Target="media/image2.e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2024-07-16T07:18:00Z</dcterms:created>
  <dc:creator>一贫如喜羊羊</dc:creator>
  <cp:lastModifiedBy>一贫如喜羊羊</cp:lastModifiedBy>
  <dcterms:modified xsi:type="dcterms:W3CDTF">2024-07-16T07:19:18Z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4282A485AB2F4DDA87E10B377035F315_11</vt:lpwstr>
  </property>
</Properties>
</file>