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常熟路桥工程有限公司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1"/>
                <w:szCs w:val="21"/>
              </w:rPr>
              <w:t>常熟市支塘镇阳桥村丰民路16号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钱振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常熟路桥工程有限公司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BPT2025200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钱振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2025.09.02-09.04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钱振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drawing>
                <wp:inline distT="0" distB="0" distL="114300" distR="114300">
                  <wp:extent cx="1903730" cy="2540635"/>
                  <wp:effectExtent l="0" t="0" r="1270" b="12065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730" cy="2540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907540" cy="2545080"/>
                  <wp:effectExtent l="0" t="0" r="16510" b="762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7540" cy="2545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drawing>
                <wp:inline distT="0" distB="0" distL="114300" distR="114300">
                  <wp:extent cx="4637405" cy="3477895"/>
                  <wp:effectExtent l="0" t="0" r="10795" b="825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7405" cy="3477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49A0794"/>
    <w:rsid w:val="390C5D74"/>
    <w:rsid w:val="3BE25C63"/>
    <w:rsid w:val="49DF031D"/>
    <w:rsid w:val="7431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202</Words>
  <Characters>242</Characters>
  <Lines>1</Lines>
  <Paragraphs>1</Paragraphs>
  <TotalTime>2</TotalTime>
  <ScaleCrop>false</ScaleCrop>
  <LinksUpToDate>false</LinksUpToDate>
  <CharactersWithSpaces>242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2025-12-04T02:14:48Z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